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6B_394/2023 vom 5. September 2023</w:t>
      </w:r>
    </w:p>
    <w:p>
      <w:r>
        <w:t>Bundesgericht, 2023-09-05, FR</w:t>
      </w:r>
    </w:p>
    <w:p>
      <w:r>
        <w:rPr>
          <w:b/>
        </w:rPr>
        <w:t xml:space="preserve">Quelle: </w:t>
      </w:r>
      <w:r>
        <w:t>https://mcp.opencaselaw.ch/entscheid/bger_6B_394_2023</w:t>
      </w:r>
    </w:p>
    <w:p>
      <w:r>
        <w:t>FR: TF 6B_394/2023 du 5 septembre 2023</w:t>
      </w:r>
    </w:p>
    <w:p>
      <w:r>
        <w:t>IT: TF 6B_394/2023 del 5 settembre 2023</w:t>
      </w:r>
    </w:p>
    <w:p>
      <w:pPr>
        <w:pStyle w:val="Heading2"/>
      </w:pPr>
      <w:r>
        <w:t>Erwägungen</w:t>
      </w:r>
    </w:p>
    <w:p>
      <w:r>
        <w:rPr>
          <w:b/>
        </w:rPr>
        <w:t>E. 1</w:t>
      </w:r>
    </w:p>
    <w:p>
      <w:r>
        <w:t>Le recourant sollicite, "à titre de mesures d'instruction", la production par la cour cantonale de l'intégralité du dossier de la cause sur lequel elle s'est fondée pour rendre le jugement entrepris.</w:t>
      </w:r>
    </w:p>
    <w:p>
      <w:r>
        <w:t>Conformément à ce que prévoit l' art. 102 al. 2 LTF , la cour cantonale a déjà transmis à la Cour de céans le dossier de la cause.</w:t>
      </w:r>
    </w:p>
    <w:p>
      <w:r>
        <w:rPr>
          <w:b/>
        </w:rPr>
        <w:t>E. 2</w:t>
      </w:r>
    </w:p>
    <w:p>
      <w:r>
        <w:t>Le recourant reproche à la cour cantonale d'avoir violé l'interdiction de l'arbitraire et les art. 410 ss CPP , en particulier l'art. 410 al. 1 let. a et l' art. 412 al. 2 CPP .</w:t>
      </w:r>
    </w:p>
    <w:p>
      <w:r>
        <w:rPr>
          <w:b/>
        </w:rPr>
        <w:t>E. 2.1.1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6B_525/2022 du 8 février 2023 consid 2.1.1; 6B_361/2021 du 16 février 2022 consid. 2.1.3; 6B_1122/2021 du 20 juin 2022 consid. 1.1).</w:t>
      </w:r>
    </w:p>
    <w:p>
      <w:r>
        <w:rPr>
          <w:b/>
        </w:rPr>
        <w:t>E. 2.1.2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6B_525/2022 précité consid 2.1.2; 6B_742/2020 du 19 novembre 2020 consid. 1.2; 6B_813/2020 du 22 juillet 2020 consid. 1.1), ou encore lorsque la demande de révision apparaît abusive (arrêts 6B_525/2022 précité consid. 2.1.2; 6B_813/2020 précité consid. 1.1 et les références citées).</w:t>
      </w:r>
    </w:p>
    <w:p>
      <w:r>
        <w:rPr>
          <w:b/>
        </w:rPr>
        <w:t>E. 2.1.3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2.2</w:t>
      </w:r>
    </w:p>
    <w:p>
      <w:r>
        <w:t>Les mémoires de recours destinés au Tribunal fédéral doivent être motivés. L' art. 42 al. 2 LTF requiert qu'ils exposent succinctement en quoi l'acte attaqué viole le droit. La jurisprudence exige sur cette base, sous peine d'irrecevabilité, d'argumenter sur tous les motifs de l'arrêt attaqué dans la mesure où chacun d'eux suffit à sceller le sort de la cause ( ATF 138 III 728 consid. 3.4; 133 IV 119 consid. 6.3 et les références citées).</w:t>
      </w:r>
    </w:p>
    <w:p>
      <w:r>
        <w:rPr>
          <w:b/>
        </w:rPr>
        <w:t>E. 2.3</w:t>
      </w:r>
    </w:p>
    <w:p>
      <w:r>
        <w:t>Pour trois motifs, la cour cantonale a jugé que le courrier dont se prévalait le recourant n'était pas de nature à ébranler la conviction de sa culpabilité et, donc, que le recourant n'avait fait valoir aucun fait ou moyen de preuve nouveau et sérieux au sens de l' art. 410 al. 1 let. a CPP . Elle a donc déclaré irrecevable la demande de révision.</w:t>
      </w:r>
    </w:p>
    <w:p>
      <w:r>
        <w:t>Premièrement, elle a considéré que C.________, d'une honnêteté douteuse dès lors qu'il avait avoué avoir commis des infractions à la LStup, n'était pas particulièrement crédible et qu'il était opportunément à l'étranger, de sorte qu'il ne prenait aucun risque avec son courrier. De plus, la cour cantonale s'est étonnée du fait que le courrier original de C.________ n'ait été produit que le 27 février 2023, alors que le recourant l'aurait appelé en juillet 2022.</w:t>
      </w:r>
    </w:p>
    <w:p>
      <w:r>
        <w:t>Deuxièmement, la cour cantonale a retenu que le mensonge prétendu au sujet de la personne de son fournisseur n'avait pas évité à B.________ une condamnation à raison des faits en cause, de sorte que le mobile de son aveu n'était pas plausible.</w:t>
      </w:r>
    </w:p>
    <w:p>
      <w:r>
        <w:t>Troisièmement, la cour cantonale a considéré que, si le recourant avait véritablement été le client de B.________, et non l'inverse, il n'aurait pas manqué, sitôt informé de sa mise en cause pour avoir vendu des stupéfiants, de rétablir les faits en expliquant qu'en réalité, c'était lui qui achetait, pour sa seule consommation personnelle. Or, le recourant avait persisté à dire que ses contacts avec B.________ étaient purement amicaux, sans lien avec la drogue. Par ailleurs, le recourant avait utilisé, dans son téléphone, trois cartes SIM, dont l'une sous une identité fictive, en contact avec deux personnes du milieu de la drogue seulement, cette pratique étant typique des trafiquants.</w:t>
      </w:r>
    </w:p>
    <w:p>
      <w:r>
        <w:rPr>
          <w:b/>
        </w:rPr>
        <w:t>E. 2.4</w:t>
      </w:r>
    </w:p>
    <w:p>
      <w:r>
        <w:t>Le recourant soutient que le témoignage de C.________ serait un élément important dans la recherche de la vérité matérielle, dans la mesure où ledit témoin serait neutre et n'aurait aucun intérêt dans la procédure pénale, que sa crédibilité ne pourrait s'apprécier en se fondant uniquement sur son courrier et qu'il aurait été contraint de se réfugier en Irlande car il aurait collaboré avec les autorités de poursuite pénale. Il invoque avoir sollicité son audition auprès de la cour cantonale et considère que celle-ci aurait dû y donner suite. Selon lui, il serait arbitraire et contraire au droit fédéral d'accorder une crédibilité sans faille à un dénonciateur ultimement déféré puis condamné séparément mais de nier un quelconque poids procédural à un témoin rappelant et confirmant ses auto-incriminations de 2019.</w:t>
      </w:r>
    </w:p>
    <w:p>
      <w:r>
        <w:rPr>
          <w:b/>
        </w:rPr>
        <w:t>E. 2.5</w:t>
      </w:r>
    </w:p>
    <w:p>
      <w:r>
        <w:t>Dans la mesure où chacun des trois motifs invoqués par la cour cantonale suffit à sceller le sort du litige et où le recourant n'a pas, ou du moins pas suffisamment, critiqué les deuxième et troisième motifs de cette argumentation, le recours est irrecevable, faute de motivation suffisante (cf.</w:t>
      </w:r>
    </w:p>
    <w:p>
      <w:r>
        <w:t>supra consid. 2.2). Quand bien même le recours aurait été recevable, le recourant n'établit pas, par sa critique lacunaire, que l'appréciation du courrier effectuée par la cour cantonale aurait été arbitraire, de sorte que son recours aurait dû être rejeté, dans la faible mesure de sa recevabilité.</w:t>
      </w:r>
    </w:p>
    <w:p>
      <w:r>
        <w:rPr>
          <w:b/>
        </w:rPr>
        <w:t>E. 3</w:t>
      </w:r>
    </w:p>
    <w:p>
      <w:r>
        <w:t>Au vu de ce qui précède, le recours doit être déclaré irrecevable.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