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6B_392/2007 vom 5. Oktober 2007</w:t>
      </w:r>
    </w:p>
    <w:p>
      <w:r>
        <w:t>Bundesgericht, 2007-10-05, DE</w:t>
      </w:r>
    </w:p>
    <w:p>
      <w:r>
        <w:rPr>
          <w:b/>
        </w:rPr>
        <w:t xml:space="preserve">Quelle: </w:t>
      </w:r>
      <w:r>
        <w:t>https://mcp.opencaselaw.ch/entscheid/bger_6B_392_2007</w:t>
      </w:r>
    </w:p>
    <w:p>
      <w:r>
        <w:t>FR: TF 6B_392/2007 du 5 octobre 2007</w:t>
      </w:r>
    </w:p>
    <w:p>
      <w:r>
        <w:t>IT: TF 6B_392/2007 del 5 ottobre 2007</w:t>
      </w:r>
    </w:p>
    <w:p>
      <w:pPr>
        <w:pStyle w:val="Heading2"/>
      </w:pPr>
      <w:r>
        <w:t>Erwägungen</w:t>
      </w:r>
    </w:p>
    <w:p>
      <w:r>
        <w:rPr>
          <w:b/>
        </w:rPr>
        <w:t>E. 1</w:t>
      </w:r>
    </w:p>
    <w:p>
      <w:r>
        <w:t>Die Bundesanwaltschaft ist zur Beschwerde berechtigt, wenn das Bundesrecht vorsieht, dass ihr der Entscheid mitzuteilen ist oder wenn die Strafsache den kantonalen Behörden zur Beurteilung überwiesen worden ist ( Art. 81 Abs. 2 BGG ). Mit Verfügung vom 5. November 2004 delegierte die Bundesanwaltschaft die Strafsache zur Untersuchung und Beurteilung an den Kanton Wallis (Beschwerdebeilage 2). Die Bundesanwaltschaft ist demnach zur Anfechtung des letztinstanzlichen kantonalen Entscheids in dieser Strafsache legitimiert.</w:t>
      </w:r>
    </w:p>
    <w:p>
      <w:r>
        <w:rPr>
          <w:b/>
        </w:rPr>
        <w:t>E. 2</w:t>
      </w:r>
    </w:p>
    <w:p>
      <w:r>
        <w:t>Die Bundesanwaltschaft rügt eine Verletzung von Art. 240 StGB . Nach ihrem Dafürhalten sei der Beschwerdegegner zu Unrecht nach dem privilegierten Tatbestand von Art. 240 Abs. 2 StGB verurteilt worden.</w:t>
      </w:r>
    </w:p>
    <w:p>
      <w:r>
        <w:rPr>
          <w:b/>
        </w:rPr>
        <w:t>E. 2.1</w:t>
      </w:r>
    </w:p>
    <w:p>
      <w:r>
        <w:t>Nach Art. 240 Abs. 1 StGB wird mit Freiheitsstrafe nicht unter einem Jahr bestraft, wer Metallgeld, Papiergeld oder Banknoten fälscht, um sie als echt in Umlauf zu bringen. In besonders leichten Fällen ist die Strafe Freiheitsstrafe bis zu drei Jahren oder Geldstrafe (Abs. 2).</w:t>
      </w:r>
    </w:p>
    <w:p>
      <w:r>
        <w:rPr>
          <w:b/>
        </w:rPr>
        <w:t>E. 2.2</w:t>
      </w:r>
    </w:p>
    <w:p>
      <w:r>
        <w:t>Ein besonders leichter Fall liegt nach der bundesgerichtlichen Rechtsprechung vor, wenn die Fälschung für jedermann leicht erkennbar ist oder wenn nur wenige Falsifikate mit geringem Nominalwert hergestellt werden. Dies trifft nicht mehr zu bei bei weit über 1900 gefälschten Fünfhunderternoten im nominellen Gesamtwert von Fr. 940'000.-- ( BGE 119 IV 154 E. 2e). Hingegen hatte das Bundesgericht kürzlich einen mit der vorliegenden Angelegenheit praktisch identischen Fall zu beurteilen, in dem der Täter ebenfalls mit Hilfe seines Laptops, Scanners und Druckers 8 Zweihunderternoten herstellte und diese mit dem Silberpapier von Zigarettenpäckchen nachbearbeitete. Zur Tatbestandsqualifizierung befand das Bundesgericht, dass weder das Vorgehen noch die geringe Anzahl und der vergleichsweise bescheidene Nominalwert der Fälschungen eine kriminelle Energie offenbarten, welche die Anwendung des mit einer Mindeststrafe von einem Jahr Freiheitsstrafe bedrohten Grundtatbestands gebieten (vgl. zur amtlichen Publikation vorgesehener Entscheid 6S.101/2007 vom 15. August 2007, E. 3.2). Diese Überlegungen lassen sich auch auf den vorliegenden Fall übertragen. Die Beschwerde ist demnach abzuweisen.</w:t>
      </w:r>
    </w:p>
    <w:p>
      <w:r>
        <w:rPr>
          <w:b/>
        </w:rPr>
        <w:t>E. 3</w:t>
      </w:r>
    </w:p>
    <w:p>
      <w:r>
        <w:t>Der Bundesanwaltschaft werden bei Unterliegen keine Kosten auferlegt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