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6B_390/2021 vom 18. März 2022</w:t>
      </w:r>
    </w:p>
    <w:p>
      <w:r>
        <w:t>Bundesgericht, 2022-03-18, DE</w:t>
      </w:r>
    </w:p>
    <w:p>
      <w:r>
        <w:rPr>
          <w:b/>
        </w:rPr>
        <w:t xml:space="preserve">Quelle: </w:t>
      </w:r>
      <w:r>
        <w:t>https://mcp.opencaselaw.ch/entscheid/bger_6B_390_2021</w:t>
      </w:r>
    </w:p>
    <w:p>
      <w:r>
        <w:t>FR: TF 6B_390/2021 du 18 mars 2022</w:t>
      </w:r>
    </w:p>
    <w:p>
      <w:r>
        <w:t>IT: TF 6B_390/2021 del 18 marzo 2022</w:t>
      </w:r>
    </w:p>
    <w:p>
      <w:pPr>
        <w:pStyle w:val="Heading2"/>
      </w:pPr>
      <w:r>
        <w:t>Erwägungen</w:t>
      </w:r>
    </w:p>
    <w:p>
      <w:r>
        <w:rPr>
          <w:b/>
        </w:rPr>
        <w:t>E. 1.1</w:t>
      </w:r>
    </w:p>
    <w:p>
      <w:r>
        <w:t>Die Beschwerdeführerin wendet sich gegen die vorinstanzliche Beweiswürdigung. Sie rügt, die inkriminierten Buchungen, mit welchen die Bargeldbezüge aus der Kasse vertuscht worden seien, seien von einem Benutzer getätigt worden, der später gelöscht worden sei. Die Vorinstanz gehe willkürlich davon aus, lediglich ihr Benutzerkonto sei gelöscht worden, weshalb die Verschleierungsbuchungen ihrem Benutzerkonto zuzurechnen seien. Die als Zeugen einvernommenen Abacus-Berater seien sich nicht einig gewesen, ob es sich auch beim Benutzer Nr. 3 um einen gelöschten Benutzer handle.</w:t>
      </w:r>
    </w:p>
    <w:p>
      <w:r>
        <w:rPr>
          <w:b/>
        </w:rPr>
        <w:t>E. 1.2.1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1.2.2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6B_790/2021 vom 20. Januar 2022 E. 1.2.3; 6B_1019/2021 vom 8. Dezember 2021 E. 1.3.3; 6B_1302/2020 vom 3. Februar 2021 E. 1.2.3, nicht publ. in: BGE 147 IV 176 ;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6B_790/2021 vom 20. Januar 2022E. 1.2.4; 6B_1019/2021 vom 8. Dezember 2021 E. 1.3.4; 6B_1302/2020 vom 3. Februar 2021 E. 1.2.4, nicht publ. in: BGE 147 IV 176 ; je mit Hinweisen).</w:t>
      </w:r>
    </w:p>
    <w:p>
      <w:r>
        <w:rPr>
          <w:b/>
        </w:rPr>
        <w:t>E. 1.3</w:t>
      </w:r>
    </w:p>
    <w:p>
      <w:r>
        <w:t>Diesen Anforderungen vermag die Beschwerde nicht zu genügen. Die Vorinstanz legt im angefochtenen Entscheid ausführlich dar, weshalb sie zur Erkenntnis gelangt, dass die inkriminierten Buchungen, welche infolge der Löschung des entsprechenden Benutzerkontos anstelle eines Benutzerkürzels mit der Ziffer "0" versehen waren, dem nachträglich gelöschten Benutzerkonto Nr. 5 der Beschwerdeführerin zuzuordnen sind. Dies deckt sich entgegen der Kritik der Beschwerdeführerin mit den Aussagen der beiden für die Privatklägerin tätigen Abacus-Berater, welche angaben, beim angeblich ebenfalls gelöschten Benutzer Nr. 3 handle es sich um einen System-User (angefochtenes Urteil S. 18-23). Die Vorinstanz erwägt zudem, praktisch ausgeschlossen sei, dass ein bisher unbekannter User, der weder die Beschwerdeführerin noch die Heimleiterin C.________ oder die Sekretariatsmitarbeiterinnen D.________ und E.________ konkret als Berechtigte im Buchhaltungssystem Abacus bezeichnet habe und der jedenfalls nicht im Tagesgeschäft des Sekretariats tätig gewesen sei, im ganzen Zeitraum ab Ende Februar 2011 bis Oktober 2013 die zahlreichen Buchungen gemäss Anklageschrift vorgenommen habe (angefochtenes Urteil S. 45). Die Beschwerdeführerin zeigt nicht ansatzweise auf, weshalb diese vorinstanzlichen Erwägungen schlechterdings unhaltbar und damit geradezu willkürlich sein könnten.</w:t>
      </w:r>
    </w:p>
    <w:p>
      <w:r>
        <w:t>Die Vorinstanz führt weiter aus, rein theoretisch könnte sich eine Drittperson mit dem auf dem Schreibtisch der Beschwerdeführerin zugänglichen Passwort angemeldet und Buchungen getätigt haben. Als Täter kämen jedoch nur der Sohn der Beschwerdeführerin sowie E.________ und D.________ infrage. Eine Täterschaft von D.________ schliesst die Vorinstanz aus, da diese aufgrund ihrer körperlichen Konstitution nicht in der Lage gewesen sei, die Kasse herauszuheben, und sie im Übrigen im Rahmen ihrer Tätigkeit für die Privatklägerin ohnehin keine Buchungen im Abacus-System vorgenommen habe (angefochtenes Urteil S. 13 f. und 17). Der Sohn der Beschwerdeführerin, der in der Zeit von ca. Sommer 2010 bis ca. Oktober 2012 für die Privatklägerin tätig gewesen sei, und E.________, welche ab September 2012 für die Privatklägerin gearbeitet habe, kommen gemäss der Vorinstanz als Urheber der Vertuschungshandlungen ebenfalls nicht infrage, da die angeklagten Buchungen in der Zeit zwischen Frühjahr 2011 bis Spätherbst 2013 erfolgt seien. Die Vorinstanz geht davon aus, dass die Buchungen tatsächlich an den in der Rubrik "Erfassungsdatum" aufgeführten Daten erfolgten. Die Beschwerdeführerin sei als einzige der infrage kommenden Personen - mit Ausnahme von Sonntag 17. Februar 2013 - an allen Daten, an denen ein Grossteil der in der Anklageschrift erwähnten Buchungen getätigt worden seien, im Büro anwesend gewesen (angefochtenes Urteil S. 23-28). Darüber hinaus legt die Vorinstanz auch bezüglich jeder einzelnen Buchung dar, weshalb von der Täterschaft der Beschwerdeführerin auszugehen ist (angefochtenes Urteil S. 28-44). Die Beschwerdeführerin setzt sich damit zu Unrecht nicht auseinander, weshalb auf ihre Kritik an der vorinstanzlichen Beweiswürdigung mangels einer rechtsgenügenden Begründung nicht weiter einzugehen ist.</w:t>
      </w:r>
    </w:p>
    <w:p>
      <w:r>
        <w:rPr>
          <w:b/>
        </w:rPr>
        <w:t>E. 2</w:t>
      </w:r>
    </w:p>
    <w:p>
      <w:r>
        <w:t>Die Beschwerde ist abzuweisen, soweit darauf einzutreten ist. 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