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6B_390/2019 vom 19. Juli 2019</w:t>
      </w:r>
    </w:p>
    <w:p>
      <w:r>
        <w:t>Bundesgericht, 2019-07-19, FR</w:t>
      </w:r>
    </w:p>
    <w:p>
      <w:r>
        <w:rPr>
          <w:b/>
        </w:rPr>
        <w:t xml:space="preserve">Quelle: </w:t>
      </w:r>
      <w:r>
        <w:t>https://mcp.opencaselaw.ch/entscheid/bger_6B_390_2019</w:t>
      </w:r>
    </w:p>
    <w:p>
      <w:r>
        <w:t>FR: TF 6B_390/2019 du 19 juillet 2019</w:t>
      </w:r>
    </w:p>
    <w:p>
      <w:r>
        <w:t>IT: TF 6B_390/2019 del 19 luglio 2019</w:t>
      </w:r>
    </w:p>
    <w:p>
      <w:pPr>
        <w:pStyle w:val="Heading2"/>
      </w:pPr>
      <w:r>
        <w:t>Erwägungen</w:t>
      </w:r>
    </w:p>
    <w:p>
      <w:r>
        <w:rPr>
          <w:b/>
        </w:rPr>
        <w:t>E. 1</w:t>
      </w:r>
    </w:p>
    <w:p>
      <w:r>
        <w:t>Par jugement du 27 juin 2018, le Tribunal de police de la République et canton de Genève a condamné X.________ pour lésions corporelles simples, à une peine pécuniaire de 90 jours-amende à 30 fr. le jour avec sursis pendant trois ans et à une amende de 900 francs.</w:t>
      </w:r>
    </w:p>
    <w:p>
      <w:r>
        <w:t>Par arrêt du 1</w:t>
      </w:r>
    </w:p>
    <w:p>
      <w:r>
        <w:t>er mars 2019, la Chambre pénale d'appel et de révision de la Cour de justice genevoise a rejeté l'appel formé par X.________ contre le jugement précité, l'a condamnée aux frais de la procédure d'appel par 2'505 fr., et a arrêté le montant des frais et honoraires du défenseur d'office de la prénommée à 3'597 fr. 20.</w:t>
      </w:r>
    </w:p>
    <w:p>
      <w:r>
        <w:t>X.________ forme un recours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La recourante ne formule aucune conclusion. Tout au plus, comprend-on de son recours qu'elle conteste devoir payer les honoraires de son avocat d'office, en particulier en raison de la défense défaillante dont elle aurait bénéficié. Or l'arrêt attaqué ne met pas l'indemnité accordée au défenseur d'office de la recourante à sa charge. La demande de la recourante est donc sans objet. Elle ne semble remettre en cause la qualité de sa défense qu'en relation avec la demande précitée. Quoi qu'il en soit, à supposer qu'elle entende remettre en cause l'efficacité de sa défense en tant que telle, ses griefs seraient de toute façon irrecevables. En effet, une grande partie des critiques de la recourante concerne le travail effectué par son conseil d'office durant la procédure de première instance et le déroulement de celle-ci. La recourante ne prétend pas les avoir formulées devant la cour d'appel, ni que celle-ci aurait commis un déni de justice en ne les traitant pas. Ces critiques ne peuvent être soulevées pour la première fois devant le Tribunal fédéral (cf. ATF 142 I 155 consid. 4.4.6 p. 158 s.) et sont, partant, irrecevables. Quant aux critiques sur le travail de son défenseur durant la procédure d'appel, elles sont fondées non sur des faits qui ressortent de l'arrêt attaqué mais uniquement sur ceux que la recourante allègue librement. Purement appellatoire, elles sont irrecevables.</w:t>
      </w:r>
    </w:p>
    <w:p>
      <w:r>
        <w:rPr>
          <w:b/>
        </w:rPr>
        <w:t>E. 3</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 art. 64 al. 1 LTF ). La recourante,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