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38/2017 vom 23. Februar 2017</w:t>
      </w:r>
    </w:p>
    <w:p>
      <w:r>
        <w:t>Bundesgericht, 2017-02-23, FR</w:t>
      </w:r>
    </w:p>
    <w:p>
      <w:r>
        <w:rPr>
          <w:b/>
        </w:rPr>
        <w:t xml:space="preserve">Quelle: </w:t>
      </w:r>
      <w:r>
        <w:t>https://mcp.opencaselaw.ch/entscheid/bger_6B_38_2017</w:t>
      </w:r>
    </w:p>
    <w:p>
      <w:r>
        <w:t>FR: TF 6B 38/2017 du 23 février 2017</w:t>
      </w:r>
    </w:p>
    <w:p>
      <w:r>
        <w:t>IT: TF 6B 38/2017 del 23 febbraio 2017</w:t>
      </w:r>
    </w:p>
    <w:p>
      <w:pPr>
        <w:pStyle w:val="Heading2"/>
      </w:pPr>
      <w:r>
        <w:t>Regeste</w:t>
      </w:r>
    </w:p>
    <w:p>
      <w:r>
        <w:t>Irrecevabilité du recours en matière pénale au Tribunal fédéral, motivation du recours | Exécution des peines et des mesures</w:t>
      </w:r>
    </w:p>
    <w:p>
      <w:pPr>
        <w:pStyle w:val="Heading2"/>
      </w:pPr>
      <w:r>
        <w:t>Erwägungen</w:t>
      </w:r>
    </w:p>
    <w:p>
      <w:r>
        <w:rPr>
          <w:b/>
        </w:rPr>
        <w:t>E. 1</w:t>
      </w:r>
    </w:p>
    <w:p>
      <w:r>
        <w:t>Par arrêt du 21 décembre 2016, la Chambre des recours pénale du Tribunal cantonal vaudois a rejeté le recours de X.________ et confirmé l'ordonnance du 5 décembre 2016 refusant à ce dernier la libération conditionnelle de la mesure thérapeutique institutionnelle ordonnée le 5 février 2014 sur la base de l' art. 59 al. 1 CP . En bref, la cour cantonale a retenu que X.________ a été condamné pénalement et disciplinairement à réitérées reprises. En outre, la mesure thérapeutique institutionnelle n'a donné que peu de résultats à ce stade, de sorte que le risque de récidive - tant générale que spéciale - s'avère élevé (cf. rapport du 30 décembre 2015 des évaluatrices en criminologie; rapport du 27 janvier 2016 et séances des 15 et 16 février 2016 de la Commission interdisciplinaire consultative). La poursuite de la mesure ne paraît pas vouée à l'échec (cf. rapport d'expertise psychiatrique du docteur A.________ établi le 3 septembre 2012 et complété le 10 janvier 2014), de sorte qu'il convient de permettre à X.________ d'intégrer une institution psychiatrique (cf. recommandation du 3 août 2016 de l'Office d'exécution des peines), un placement en milieu ouvert n'étant toutefois pas envisageable (cf. rapport du 28 janvier 2016 du Service de médecine et de psychiatrie pénitentiaires). La privation de liberté subie et le temps écoulé depuis le prononcé de la mesure n'apparaissent pas excessifs, dès lors que le but de celle-ci est loin d'être atteint et que ses effets ne seront vraisemblablement perceptibles qu'à long terme. L'atteinte aux droits de la personnalité ne s'avère pas non plus disproportionnée au regard de la vraisemblance que X.________ commette de nouvelles infractions.</w:t>
      </w:r>
    </w:p>
    <w:p>
      <w:r>
        <w:rPr>
          <w:b/>
        </w:rPr>
        <w:t>E. 2</w:t>
      </w:r>
    </w:p>
    <w:p>
      <w:r>
        <w:t>X.________ interjette un recours en matière pénale au Tribunal fédéral contre l'arrêt cantonal dont il réclame l'annulation, en concluant à la levée de la mesure thérapeutique institutionnelle et sa mise en liberté. 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134 II 244 consid. 2.1 p. 245).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Les critiques de nature appellatoire sont irrecevables ( ATF 141 IV 317 consid. 5.4 p. 324).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Le recourant se contente de livrer des commentaires personnels et de contester ainsi l'arrêt entrepris. Pour autant, il ne cherche pas à discuter la motivation cantonale, ni à dire en quoi elle serait contraire au droit fédéral. Il fonde son argumentation sur des faits non constatés, dont il n'établit pas l'arbitraire de leur omission, pas plus qu'il ne soutient que la juridiction cantonale aurait faussement retranscrit les différents rapports sur lesquels elle s'est fondée. Purement appellatoire, son argumentaire est clairement insuffisant au regard des exigences minimales de motivation d'un recours en matière pénale au Tribunal fédéral, de sorte que le présent recours doit être écarté en application de la procédure simplifiée prévue à l' art. 108 al. 1 let. b LTF .</w:t>
      </w:r>
    </w:p>
    <w:p>
      <w:r>
        <w:rPr>
          <w:b/>
        </w:rPr>
        <w:t>E. 3</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