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389/2013 vom 26. November 2013</w:t>
      </w:r>
    </w:p>
    <w:p>
      <w:r>
        <w:t>Bundesgericht, 2013-11-26, FR</w:t>
      </w:r>
    </w:p>
    <w:p>
      <w:r>
        <w:rPr>
          <w:b/>
        </w:rPr>
        <w:t xml:space="preserve">Quelle: </w:t>
      </w:r>
      <w:r>
        <w:t>https://mcp.opencaselaw.ch/entscheid/bger_6B_389_2013</w:t>
      </w:r>
    </w:p>
    <w:p>
      <w:r>
        <w:t>FR: TF 6B 389/2013 du 26 novembre 2013</w:t>
      </w:r>
    </w:p>
    <w:p>
      <w:r>
        <w:t>IT: TF 6B 389/2013 del 26 novembre 2013</w:t>
      </w:r>
    </w:p>
    <w:p>
      <w:pPr>
        <w:pStyle w:val="Heading2"/>
      </w:pPr>
      <w:r>
        <w:t>Regeste</w:t>
      </w:r>
    </w:p>
    <w:p>
      <w:r>
        <w:t>Indemnité | Droit pénal (en général)</w:t>
      </w:r>
    </w:p>
    <w:p>
      <w:pPr>
        <w:pStyle w:val="Heading2"/>
      </w:pPr>
      <w:r>
        <w:t>Erwägungen</w:t>
      </w:r>
    </w:p>
    <w:p>
      <w:r>
        <w:rPr>
          <w:b/>
        </w:rPr>
        <w:t>E. 1</w:t>
      </w:r>
    </w:p>
    <w:p>
      <w:r>
        <w:t>La recourante invoque notamment une violation de son droit d'être entendue dès lors que la cour cantonale n'a pas expliqué pourquoi elle retranchait des heures par rapport à son relevé d'activité du 4 octobre 2012.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 6B_124/2012 du 22 juin 2012 consid. 2.2 et les références citées). Cette jurisprudence vaut aussi pour la fixation d'une indemnité selon l' art. 429 al. 1 let. a CPP lorsqu'une liste d'opérations détaillée est présentée. La recourante a produit une liste d'opérations faisant état d'un total de 14 heures 42 minutes pour l'accomplissement du mandat d'avocat. La cour cantonale a relevé qu'il n'y avait pas lieu de tenir compte de certaines opérations, que la durée de deux conférences téléphoniques d'un total de 54 minutes apparaissait disproportionnée, et qu'il fallait considérer que 7 heures 30 minutes suffisaient pour effectuer le mandat. Autrement dit, la cour cantonale a retranché près de 7 heures sans fournir d'explications, sous réserve de l'allusion à deux conférences téléphoniques. Ce faisant, elle a violé le droit d'être entendue de la recourante. Cela justifie l'admission du recours et le renvoi de la cause en instance cantonale pour qu'elle statue à nouveau. Il n'y a pas lieu à ce stade de se prononcer sur le retranchement de certaines opérations dès lors qu'il incombera à la cour cantonale de reprendre l'examen de l'entier de la liste d'opérations présentée.</w:t>
      </w:r>
    </w:p>
    <w:p>
      <w:r>
        <w:rPr>
          <w:b/>
        </w:rPr>
        <w:t>E. 2</w:t>
      </w:r>
    </w:p>
    <w:p>
      <w:r>
        <w:t>La recourante se plaint également du taux horaire de 270 fr. pratiqué par la cour cantonale. Le Tribunal fédéral a récemment jugé que la fixation dans le canton de Vaud d'un taux horaire de 270 fr. correspondant à un taux réduit par rapport au taux usuel n'était pas compatible avec l' art. 429 al. 1 let. a CPP en l'absence dans le canton d'une réglementation adoptant un tarif spécifique (cf. arrêt 6B_392/2013 du 4 novembre 2013). Il est renvoyé à cet arrêt. Le recours doit ainsi également être admis sur la question du taux horaire.</w:t>
      </w:r>
    </w:p>
    <w:p>
      <w:r>
        <w:rPr>
          <w:b/>
        </w:rPr>
        <w:t>E. 3</w:t>
      </w:r>
    </w:p>
    <w:p>
      <w:r>
        <w:t>Le recours doit être admis. Vu l'issue de la procédure, il ne sera pas perçu de frais ( art. 66 al. 4 LTF ) et le canton de Vaud versera à la recourante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