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387/2018 vom 4. Mai 2018</w:t>
      </w:r>
    </w:p>
    <w:p>
      <w:r>
        <w:t>Bundesgericht, 2018-05-04, DE</w:t>
      </w:r>
    </w:p>
    <w:p>
      <w:r>
        <w:rPr>
          <w:b/>
        </w:rPr>
        <w:t xml:space="preserve">Quelle: </w:t>
      </w:r>
      <w:r>
        <w:t>https://mcp.opencaselaw.ch/entscheid/bger_6B_387_2018</w:t>
      </w:r>
    </w:p>
    <w:p>
      <w:r>
        <w:t>FR: TF 6B 387/2018 du 4 mai 2018</w:t>
      </w:r>
    </w:p>
    <w:p>
      <w:r>
        <w:t>IT: TF 6B 387/2018 del 4 maggio 2018</w:t>
      </w:r>
    </w:p>
    <w:p>
      <w:pPr>
        <w:pStyle w:val="Heading2"/>
      </w:pPr>
      <w:r>
        <w:t>Regeste</w:t>
      </w:r>
    </w:p>
    <w:p>
      <w:r>
        <w:t>Nichtleistung der Prozesskaution (Einstellung); Nichteintreten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A.A.________,</w:t>
      </w:r>
    </w:p>
    <w:p>
      <w:r>
        <w:rPr>
          <w:b/>
        </w:rPr>
        <w:t>E. 2</w:t>
      </w:r>
    </w:p>
    <w:p>
      <w:r>
        <w:t>Es rechtfertigt sich, ausnahmsweise auf eine Kostenauflage zu verzichten ( Art. 66 Abs. 1 Satz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