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6B_387/2013 vom 8. Juli 2013</w:t>
      </w:r>
    </w:p>
    <w:p>
      <w:r>
        <w:t>Bundesgericht, 2013-07-08, FR</w:t>
      </w:r>
    </w:p>
    <w:p>
      <w:r>
        <w:rPr>
          <w:b/>
        </w:rPr>
        <w:t xml:space="preserve">Quelle: </w:t>
      </w:r>
      <w:r>
        <w:t>https://mcp.opencaselaw.ch/entscheid/bger_6B_387_2013</w:t>
      </w:r>
    </w:p>
    <w:p>
      <w:r>
        <w:t>FR: TF 6B_387/2013 du 8 juillet 2013</w:t>
      </w:r>
    </w:p>
    <w:p>
      <w:r>
        <w:t>IT: TF 6B_387/2013 del 8 luglio 2013</w:t>
      </w:r>
    </w:p>
    <w:p>
      <w:pPr>
        <w:pStyle w:val="Heading2"/>
      </w:pPr>
      <w:r>
        <w:t>Erwägungen</w:t>
      </w:r>
    </w:p>
    <w:p>
      <w:r>
        <w:rPr>
          <w:b/>
        </w:rPr>
        <w:t>E. 1</w:t>
      </w:r>
    </w:p>
    <w:p>
      <w:r>
        <w:t>Le recourant soutient que l' art. 429 al. 1 let. a CPP ne mentionne pas la possibilité d'allouer une indemnité en cas de refus d'entrer en matière mais uniquement en cas d'acquittement ou de classement et qu'il s'agirait d'un silence qualifié du législateur.</w:t>
      </w:r>
    </w:p>
    <w:p>
      <w:r>
        <w:t>L' 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 ATF 138 IV 205 consid. 1 p. 206). L' art. 429 CPP ne mentionne certes pas expressément l'ordonnance de non-entrée en matière ( art. 310 CPP ) comme cas de figure pouvant donner lieu à indemnité. On ne saurait cependant en déduire un silence qualifié du législateur (sur cette notion, cf. ATF 139 I 57 consid. 5.2 p. 60). En effet, l' art. 310 al. 2 CPP prévoit expressément que les dispositions sur le classement s'appliquent. Il s'ensuit que la même réglementation prévaut pour une non-entrée en matière et un classement. La doctrine est largement d'avis qu'une indemnité selon l' art. 429 al. 1 let. a CPP entre aussi en considération pour une non-entrée en matière (cf. JEANNERET/KUHN, Précis de procédure pénale, 2013, n. 5062 p. 122; MIZEL/RÉTORNAZ, in Commentaire romand, Code de procédure pénale suisse, 2011, n° 9 ad art. 429 CPP ; MOREILLON/PAREIN-REYMOND, CPP: Code de procédure pénale, 2013, n° 9 ad art. 429 CPP ; PIQUEREZ/MACALUSO, Procédure pénale suisse, 3e éd. 2011, n. 2281 p. 728; NIKLAUS SCHMID, Schweizerische Strafprozessordnung, Praxiskommentar, 2009, n° 1 ad art. 429 CPP ). Rien ne justifie de s'écarter de cette approche. C'est ainsi en vain que le recourant conteste la possibilité d'allouer une indemnité en vertu de l' art. 429 al. 1 let. a CPP en cas de refus d'entrer en matière.</w:t>
      </w:r>
    </w:p>
    <w:p>
      <w:r>
        <w:rPr>
          <w:b/>
        </w:rPr>
        <w:t>E. 2</w:t>
      </w:r>
    </w:p>
    <w:p>
      <w:r>
        <w:t>Le recourant est d'avis que l'assistance d'un avocat ne constituait pas dans le cas d'espèce l'exercice raisonnable d'un droit de procédure au sens de l' art. 429 al. 1 let. a CPP .</w:t>
      </w:r>
    </w:p>
    <w:p>
      <w:r>
        <w:rPr>
          <w:b/>
        </w:rPr>
        <w:t>E. 2.1</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p. 203 s.; cf. aussi WEHRENBERG/BERNHARD, in Basler Kommentar, Schweizerische Strafprozessordnung, 2011, n° 14 ad art. 429 CPP ).</w:t>
      </w:r>
    </w:p>
    <w:p>
      <w:r>
        <w:t>Savoir si le recours à 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2.2</w:t>
      </w:r>
    </w:p>
    <w:p>
      <w:r>
        <w:t>En l'espèce, l'autorité précédente s'est limitée à dire que le recours à un avocat de choix se justifiait dès lors qu'un délit ( art. 144 CP ) était reproché à l'intimée. Une telle justification schématique ne suffit pas en l'occurrence. Il ressort de la procédure que l'intimée a été soupçonnée d'avoir mis le feu à un container en y jetant une cigarette. Elle a été entendue à une occasion par la gendarmerie le 8 mai 2012. Elle a en particulier déclaré qu'elle n'avait pas besoin d'avocat pour le moment. La concierge de l'immeuble a été entendue deux jours après comme personne appelée à donner des renseignements. L'intimée a adressé le 15 mai 2012 un test d'analyse médicale afin de prouver qu'elle ne fumait pas. La gendarmerie a établi un rapport le 21 mai 2012. L'actuel conseil de l'intimée a annoncé sa constitution pour cette dernière le 18 juin 2012. Il n'est pas intervenu dans la procédure. Au vu de ce qui précède, il n'apparaît pas que la cause ait présenté de difficultés en fait ou en droit. Le ministère public n'a pas requis de la police un complément d'investigation au sens de l' art. 309 al. 2 CPP . Il a prononcé la non-entrée en matière à la suite d'une seule audition de l'intimée dans le cadre de l'investigation policière. Dans ces circonstances, il faut admettre avec le recourant que l'intervention de l'avocat ne s'inscrit pas dans l'exercice raisonnable des droits de procédure au sens de l' art. 429 al. 1 let. a CPP . Cela exclut une indemnisation. Le recours est bien fondé sur ce point. L'arrêt attaqué doit être annulé et la cause renvoyée à l'autorité précédente.</w:t>
      </w:r>
    </w:p>
    <w:p>
      <w:r>
        <w:rPr>
          <w:b/>
        </w:rPr>
        <w:t>E. 3</w:t>
      </w:r>
    </w:p>
    <w:p>
      <w:r>
        <w:t>L'arrêt est rendu sans frais ( art. 66 al. 1 LTF ). Le Ministère public, qui obtient ainsi gain de cause, ne saurait se voir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