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6B_386/2008 vom 1. Juli 2008</w:t>
      </w:r>
    </w:p>
    <w:p>
      <w:r>
        <w:t>Bundesgericht, 2008-07-01, FR</w:t>
      </w:r>
    </w:p>
    <w:p>
      <w:r>
        <w:rPr>
          <w:b/>
        </w:rPr>
        <w:t xml:space="preserve">Quelle: </w:t>
      </w:r>
      <w:r>
        <w:t>https://mcp.opencaselaw.ch/entscheid/bger_6B_386_2008</w:t>
      </w:r>
    </w:p>
    <w:p>
      <w:r>
        <w:t>FR: TF 6B_386/2008 du 1 juillet 2008</w:t>
      </w:r>
    </w:p>
    <w:p>
      <w:r>
        <w:t>IT: TF 6B_386/2008 del 1 luglio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En l'espèce, le recourant ne formule aucun grief d'ordre constitutionnel ou conventionnel. Il indique tout au plus, en page 4 de son mémoire, sous forme de remarque, que le grief principal qu'il soulève l'a déjà été devant la cour cantonale. Il faut admettre que le recourant, qui est assisté, mentionne ce point en relation avec l'exigence d'épuisement des instances cantonales (cf. art. 80 al. 1 LTF ) et non comme un grief distinct, dépourvu de toute motivation, relatif à la violation de son droit d'être entendu.</w:t>
      </w:r>
    </w:p>
    <w:p>
      <w:r>
        <w:rPr>
          <w:b/>
        </w:rPr>
        <w:t>E. 2</w:t>
      </w:r>
    </w:p>
    <w:p>
      <w:r>
        <w:t>Le recourant conclut à la réduction de sa peine dans une mesure compatible avec l'octroi du sursis partiel. Il reproche aux autorités cantonales d'avoir violé les art. 5 et 6 CP en prononçant et confirmant sa condamnation pour utilisation frauduleuse d'un ordinateur ( art. 147 CP ) à raison de faits (des prélèvements d'argent) qui se sont exclusivement déroulés à l'étranger. Il souligne qu'il est roumain et domicilié en Roumanie.</w:t>
      </w:r>
    </w:p>
    <w:p>
      <w:r>
        <w:rPr>
          <w:b/>
        </w:rPr>
        <w:t>E. 2.1</w:t>
      </w:r>
    </w:p>
    <w:p>
      <w:r>
        <w:t>Les art. 5 et 6 CP , dans leur teneur en vigueur jusqu'au 31 décembre 2006, définissaient les conditions auxquelles des crimes et délits commis à l'étranger contre un Suisse (ancien art. 5 CP ), respectivement commis à l'étranger par un Suisse (ancien art. 6 CP ) pouvaient être punis en Suisse en application du Code pénal. Ces questions sont désormais réglées par les art. 4 à 7 de la nouvelle partie générale du Code pénal, en vigueur depuis le 1er janvier 2007.</w:t>
      </w:r>
    </w:p>
    <w:p>
      <w:r>
        <w:t>En substance, le recourant, qui ne conteste pas que les actes de soustraction de données ont bien été commis en Suisse, soutient que les prélèvements, constitutifs de l'infraction à l' art. 147 CP , qui ont été effectués à l'étranger, soit notamment en Italie, en Autriche (Graz) et en Hongrie constituent des délits commis à l'étranger.</w:t>
      </w:r>
    </w:p>
    <w:p>
      <w:r>
        <w:rPr>
          <w:b/>
        </w:rPr>
        <w:t>E. 2.2</w:t>
      </w:r>
    </w:p>
    <w:p>
      <w:r>
        <w:t>L'application des dispositions définissant le champ d'application territorial du Code pénal aux actes commis à l'étranger suppose cependant que soit préalablement examinée la question du lieu où a été commis le crime où le délit. Cette question est régie en droit suisse par le principe dit de l'ubiquité, selon lequel un crime ou un délit est réputé commis tant au lieu où l'auteur a agi, qu'au lieu où le résultat s'est produit (ancien art. 7 al. 1 CP ; art. 8 al. 1 CP ). En relation avec les délits matériels, le résultat désigne une modification du monde extérieur, imputable à l'auteur et faisant partie des éléments constitutifs de l'infraction ( ATF 109 IV 1 consid. 3b, p. 3, 105 IV 326).</w:t>
      </w:r>
    </w:p>
    <w:p>
      <w:r>
        <w:rPr>
          <w:b/>
        </w:rPr>
        <w:t>E. 2.2.1</w:t>
      </w:r>
    </w:p>
    <w:p>
      <w:r>
        <w:t>Conformément à l' art. 147 al. 1 CP ,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t>Cette disposition suppose non seulement un acte (l'utilisation de données pour influer sur un processus électronique ou similaire de traitement ou de transmission de données) mais également un résultat (provoquer un transfert d'actifs au préjudice d'autrui). En application du principe de l'ubiquité, il suffit donc que le résultat se soit produit en Suisse pour rendre le Code pénal applicable.</w:t>
      </w:r>
    </w:p>
    <w:p>
      <w:r>
        <w:rPr>
          <w:b/>
        </w:rPr>
        <w:t>E. 2.2.2</w:t>
      </w:r>
    </w:p>
    <w:p>
      <w:r>
        <w:t>Ni le jugement, ni l'arrêt entrepris ne constatent formellement où se sont produits les résultats des infractions à l' art. 147 CP . Il y a cependant lieu de compléter l'état de fait sur ce point en application de l' art. 105 al. 2 LTF .</w:t>
      </w:r>
    </w:p>
    <w:p>
      <w:r>
        <w:t>Il ressort du dossier de la cause (Classeur Dossier joint A/3) que A.________ habite à G.________, et que c'est son compte auprès du Crédit suisse qui a été débité. B.________ habitait, tout au moins au moment des faits, à H.________. C'est son compte auprès de l'UBS qui a été débité. C.________ habite à I.________. Le compte débité était ouvert auprès de la Banque cantonale de Lucerne. D.________ habite à J.________. Le compte débité était ouvert auprès de la Luzerner Regiobank. E.________ habite à K.________. Le compte débité était ouvert auprès de la Banque cantonale de Zürich. Enfin, dans le cas de F.________, c'est déjà l'acte lui-même qui a été commis en Suisse, la carte copiée à Zofingen ayant été utilisée le même jour à un distributeur du Crédit suisse à Aarau (v. supra consid. B.c).</w:t>
      </w:r>
    </w:p>
    <w:p>
      <w:r>
        <w:t>Il s'ensuit que, dans tous ces cas, soit l'utilisation des données est intervenue en Suisse (cas F.________), soit le résultat de l'utilisation incorrecte, incomplète ou indue des données - le transfert des actifs au préjudice des victimes - s'est produit en Suisse, lieu de situation des comptes spoliés où, si l'on préfère, lieu de situation des créances détenues par les titulaires, qui habitaient tous en Suisse, des comptes à l'égard de ces institutions bancaires suisses. Il s'ensuit que les autorités cantonales n'ont pas violé le droit fédéral en appliquant les dispositions du code pénal suisse au recourant. Le grief est infondé.</w:t>
      </w:r>
    </w:p>
    <w:p>
      <w:r>
        <w:rPr>
          <w:b/>
        </w:rPr>
        <w:t>E. 3</w:t>
      </w:r>
    </w:p>
    <w:p>
      <w:r>
        <w:t>Le recourant, qui ne formule aucune critique en relation avec l'application des art. 43 et 47 CP , justifie exclusivement sa conclusion tendant à la fixation d'une nouvelle peine compatible avec l'octroi du sursis partiel par le grief examiné ci-dessus. On peut dès lors se borner à constater que la peine qui lui a été infligée, avec quatre ans de privation de liberté - ce qui exclut le sursis, même partiel ( art. 43 al. 1 CP ) -, n'apparaît procéder ni d'un abus ni d'un excès du très large pouvoir d'appréciation des autorités cantonales, compte tenu des faits retenus à sa charge, la circonstance du métier notamment, ainsi que de ses antécédents (une condamnation à huit ans de réclusion pour brigandage qualifié prononcée en Allemagne en 1997).</w:t>
      </w:r>
    </w:p>
    <w:p>
      <w:r>
        <w:rPr>
          <w:b/>
        </w:rPr>
        <w:t>E. 4</w:t>
      </w:r>
    </w:p>
    <w:p>
      <w:r>
        <w:t>Le recours est rejeté. Il était d'emblée dénué de chances de succès, si bien que l'assistance judiciaire doit être refusée ( art. 64 al. 1 LTF ). Le recourant supporte les frais de la procédure, qui peuvent être réduits pour tenir compte de sa situation, qui n'apparaît pas favorable en raison de sa détention prolongée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