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6B_385/2025 vom 11. Juni 2025</w:t>
      </w:r>
    </w:p>
    <w:p>
      <w:r>
        <w:t>Bundesgericht, 2025-06-11, FR</w:t>
      </w:r>
    </w:p>
    <w:p>
      <w:r>
        <w:rPr>
          <w:b/>
        </w:rPr>
        <w:t xml:space="preserve">Quelle: </w:t>
      </w:r>
      <w:r>
        <w:t>https://mcp.opencaselaw.ch/entscheid/bger_6B_385_2025</w:t>
      </w:r>
    </w:p>
    <w:p>
      <w:r>
        <w:t>FR: TF 6B_385/2025 du 11 juin 2025</w:t>
      </w:r>
    </w:p>
    <w:p>
      <w:r>
        <w:t>IT: TF 6B_385/2025 del 11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22 août 2024, la Chambre pénale d'appel et de révision de la Cour de justice genevoise a déclaré irrecevable l'appel formé par A.________ contre le jugement rendu le 18 mars 2024 par lequel le Tribunal de police de la République et canton de Genève a reconnu le prénommé coupable d'infraction à l'art. 115 al. 1 let. a, b et c LEI (RS 142.20) et l'a condamné à une peine privative de liberté de 60 jours, sous déduction de deux jours de détention avant jugement.</w:t>
      </w:r>
    </w:p>
    <w:p>
      <w:r>
        <w:rPr>
          <w:b/>
        </w:rPr>
        <w:t>E. 2</w:t>
      </w:r>
    </w:p>
    <w:p>
      <w:r>
        <w:t>Par acte daté du 25 avril 2025, l'on comprend que A.________ forme un recours en matière pénale contre l'arrêt précité. Il conclut à ce que sa cause soit rejugée.</w:t>
      </w:r>
    </w:p>
    <w:p>
      <w:r>
        <w:t>Par missive datée du 5 mai 2025, A.________ complète sa précédente écriture et conclut à l'annulation du jugement de première instance et de l'arrêt entrepris, ainsi qu'à l'allocation d'une indemnité à titre de tort moral pour les jours passés en détention, à raison de 200 fr. par jour.</w:t>
      </w:r>
    </w:p>
    <w:p>
      <w:r>
        <w:rPr>
          <w:b/>
        </w:rPr>
        <w:t>E. 3</w:t>
      </w:r>
    </w:p>
    <w:p>
      <w:r>
        <w:t>Le recours contre une décision doit être déposé devant le Tribunal fédéral dans les trente jours qui suivent sa notification ( art. 100 al. 1 LTF ). Les délais dont le début dépend d'une communication ou de la survenance d'un événement courent dès le lendemain de celles-ci ( art. 44 al. 1 LTF ). Le délai est observé si le mémoire est remis à La Poste Suisse ou à une représentation diplomatique ou consulaire suisse le dernier jour du délai ( art. 48 al. 1 LTF ).</w:t>
      </w:r>
    </w:p>
    <w:p>
      <w:r>
        <w:t>En l'espèce, l'arrêt querellé est réputé avoir été notifié au recourant le 5 septembre 2024, à l'échéance du délai de garde de sept jours (cf. art. 44 al. 2 LTF ). La seule mention du recourant selon laquelle il n'aurait pris connaissance de l'arrêt attaqué qu'après son arrestation au début du mois d'avril 2025 est insuffisante à modifier ce constat. Le délai de recours de trente jours contre cet arrêt a donc commencé à courir, quoi qu'en dise le recourant, le 6 septembre 2024 et est arrivé à échéance le 7 octobre 2024. L'acte de recours daté du 25 avril 2025 et déposé à La Poste Suisse le 30 avril 2025, ainsi que son complément daté du 5 mai 2025, sont tardifs et donc irrecevables.</w:t>
      </w:r>
    </w:p>
    <w:p>
      <w:r>
        <w:rPr>
          <w:b/>
        </w:rPr>
        <w:t>E. 4</w:t>
      </w:r>
    </w:p>
    <w:p>
      <w:r>
        <w:t>Pour le surplus, le recourant ne formule, ne serait-ce qu'implicitement, aucune demande de restitution de délai au sens de l' art. 50 al. 1 LTF .</w:t>
      </w:r>
    </w:p>
    <w:p>
      <w:r>
        <w:rPr>
          <w:b/>
        </w:rPr>
        <w:t>E. 5</w:t>
      </w:r>
    </w:p>
    <w:p>
      <w:r>
        <w:t>L'irrecevabilité du recours est manifeste, ce qu'il convient de constater dans la procédure prévue par l' art. 108 al. 1 let. a LTF .</w:t>
      </w:r>
    </w:p>
    <w:p>
      <w:r>
        <w:t>Il peut exceptionnellement être statué sans frais (cf. 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