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385/2022 vom 13. Juni 2022</w:t>
      </w:r>
    </w:p>
    <w:p>
      <w:r>
        <w:t>Bundesgericht, 2022-06-13, DE</w:t>
      </w:r>
    </w:p>
    <w:p>
      <w:r>
        <w:rPr>
          <w:b/>
        </w:rPr>
        <w:t xml:space="preserve">Quelle: </w:t>
      </w:r>
      <w:r>
        <w:t>https://mcp.opencaselaw.ch/entscheid/bger_6B_385_2022</w:t>
      </w:r>
    </w:p>
    <w:p>
      <w:r>
        <w:t>FR: TF 6B 385/2022 du 13 juin 2022</w:t>
      </w:r>
    </w:p>
    <w:p>
      <w:r>
        <w:t>IT: TF 6B 385/2022 del 13 giugno 2022</w:t>
      </w:r>
    </w:p>
    <w:p>
      <w:pPr>
        <w:pStyle w:val="Heading2"/>
      </w:pPr>
      <w:r>
        <w:t>Regeste</w:t>
      </w:r>
    </w:p>
    <w:p>
      <w:r>
        <w:t>Einstellung (Betrug); Nichteintreten | Strafprozess</w:t>
      </w:r>
    </w:p>
    <w:p>
      <w:pPr>
        <w:pStyle w:val="Heading2"/>
      </w:pPr>
      <w:r>
        <w:t>Erwägungen</w:t>
      </w:r>
    </w:p>
    <w:p>
      <w:r>
        <w:rPr>
          <w:b/>
        </w:rPr>
        <w:t>E. 1</w:t>
      </w:r>
    </w:p>
    <w:p>
      <w:r>
        <w:t>Am 27. August 2020 erstattete der Beschwerdeführer Strafanzeige wegen Betrugs, weil ein Motorradlenker am 31. Mai 2020 einen Verkehrsunfall fingiert haben soll. Am 10. Juni 2021 stellte die Staatsanwaltschaft des Kantons Basel-Landschaft das Strafverfahren ein. Eine dagegen gerichtete Beschwerde wies das Kantonsgerichts Basel-Landschaft mit Beschluss vom 19. November 2021 ab. Von einem für eine Anklageerhebung hinreichenden Tatverdacht könne offensichtlich nicht gesprochen werden.</w:t>
      </w:r>
    </w:p>
    <w:p>
      <w:r>
        <w:rPr>
          <w:b/>
        </w:rPr>
        <w:t>E. 2</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 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3</w:t>
      </w:r>
    </w:p>
    <w:p>
      <w:r>
        <w:t>Der Beschwerdeführer äussert sich vor Bundesgericht nicht zu seiner Legitimation als Privatkläger und zur Frage der Zivilforderung. Er benennt in seiner Beschwerde keine konkreten Zivilforderungen, die ihm unmittelbar aufgrund der angeblichen Straftat zustehen könnten, und legt auch nicht im Ansatz dar, dass und inwiefern sich der abschliessende Entscheid der Vorinstanz über die Einstellung auf allfällige Zivilansprüche auswirken könnte. Welche zivilrechtlichen Ansprüche dem Beschwerdeführer im dargestellten Sinne zustehen könnten, ist in Anbetracht der Natur des zur Anzeige gebrachten Sachverhalts auch nicht ohne Weiteres ersichtlich. Folglich ist die Beschwerdelegitimation des Beschwerdeführers in der Sache zu verneinen.</w:t>
      </w:r>
    </w:p>
    <w:p>
      <w:r>
        <w:rPr>
          <w:b/>
        </w:rPr>
        <w:t>E. 4</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146 IV 76 E. 2; 141 IV 1 E. 1.1 mit Hinweisen). Soweit eine Rüge zulässig ist, ist klar und detailliert darzulegen, inwieweit das angerufene Recht verletzt worden sein soll ( Art. 42 Abs. 2 und Art. 106 Abs. 2 BGG ).</w:t>
      </w:r>
    </w:p>
    <w:p>
      <w:r>
        <w:rPr>
          <w:b/>
        </w:rPr>
        <w:t>E. 5</w:t>
      </w:r>
    </w:p>
    <w:p>
      <w:r>
        <w:t>Die Verfahrensleitung der Vorinstanz hiess den Antrag des Beschwerdeführers auf Einsicht in die paginierten Akten der Staatsanwaltschaft mit prozessleitender Verfügung vom 14. Juli 2021 gut (angefochtener Beschluss S. 3). Soweit der Beschwerdeführer der Vorinstanz vor Bundesgericht vorwirft, sich nicht mit seiner Rüge zur angeblich durch die Staatsanwaltschaft nicht rechtmässig gewährten Akteneinsicht befasst zu haben, zeigt er nicht in einer den Formerfordernissen genügenden Weise auf, dass er die fragliche Rüge frist- und formgerecht vor Vorinstanz erhoben hätte ( Art. 42 Abs. 2 BGG ). Im Übrigen wäre der Rüge selbst dann kein Erfolg beschieden, wenn darauf eingetreten werden könnte. Dass der Beschwerdeführer die Akten der Staatsanwaltschaft eingesehen hat, ist nicht streitig. Inwiefern ihm ein Nachteil dadurch entstanden sein soll, dass er trotz Gutheissung seines Antrags angeblich keine Einsicht in die paginierten Akten der Staatsanwaltschaft nehmen konnte, legt der Beschwerdeführer in seiner Beschwerde indessen nicht dar; solches ist auch nicht ersichtlich. Er verkennt, dass der Anspruch auf rechtliches Gehör trotz seiner formellen Natur nicht Selbstzweck ist und dessen Verletzung nur gerügt werden kann, solange damit ein rechtlich geschütztes Interesse einhergeht (vgl. Urteile 4A_148/2020 vom 20. Mai 2020 E. 3.2 mit Hinweisen; 6B_803/2016 vom 20. Juli 2017 E. 2.1; 6B_206/2012 vom 5. Juli 2012 E. 1.2.2; 6B_76/2011 vom 31. Mai 2011 E. 2). Insgesamt genügt die Beschwerde den Begründungsanforderungen ( Art. 42 Abs. 2 BGG und Art. 106 Abs. 2 BGG ) nicht.</w:t>
      </w:r>
    </w:p>
    <w:p>
      <w:r>
        <w:rPr>
          <w:b/>
        </w:rPr>
        <w:t>E. 6</w:t>
      </w:r>
    </w:p>
    <w:p>
      <w:r>
        <w:t>Auf die Beschwerde ist mangels tauglicher Begründung im Verfahren nach Art. 108 BGG nicht einzutreten. Gemäss dem Verfahrensausgang trägt der Beschwerdeführer die 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