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385/2021 vom 1. Februar 2022</w:t>
      </w:r>
    </w:p>
    <w:p>
      <w:r>
        <w:t>Bundesgericht, 2022-02-01, DE</w:t>
      </w:r>
    </w:p>
    <w:p>
      <w:r>
        <w:rPr>
          <w:b/>
        </w:rPr>
        <w:t xml:space="preserve">Quelle: </w:t>
      </w:r>
      <w:r>
        <w:t>https://mcp.opencaselaw.ch/entscheid/bger_6B_385_2021</w:t>
      </w:r>
    </w:p>
    <w:p>
      <w:r>
        <w:t>FR: TF 6B 385/2021 du 1 février 2022</w:t>
      </w:r>
    </w:p>
    <w:p>
      <w:r>
        <w:t>IT: TF 6B 385/2021 del 1 febbraio 2022</w:t>
      </w:r>
    </w:p>
    <w:p>
      <w:pPr>
        <w:pStyle w:val="Heading2"/>
      </w:pPr>
      <w:r>
        <w:t>Regeste</w:t>
      </w:r>
    </w:p>
    <w:p>
      <w:r>
        <w:t>Missachten eines Lichtsignals im Sinne von Art. 90 Abs. 1 SVG i.V.m. Art. 27 Abs. 1 SVG und Art. 68 SSV; Nichteintreten | Straftaten</w:t>
      </w:r>
    </w:p>
    <w:p>
      <w:pPr>
        <w:pStyle w:val="Heading2"/>
      </w:pPr>
      <w:r>
        <w:t>Erwägungen</w:t>
      </w:r>
    </w:p>
    <w:p>
      <w:r>
        <w:rPr>
          <w:b/>
        </w:rPr>
        <w:t>E. 1</w:t>
      </w:r>
    </w:p>
    <w:p>
      <w:r>
        <w:t>Gemäss Art. 42 Abs. 1 BGG haben Rechtsschriften die Begehren, deren Begründung mit Angabe der Beweismittel und die Unterschrift zu enthalten. Die Beschwerde ist innerhalb der Beschwerdefrist vollständig begründet einzureichen. Der angefochtene Entscheid wurde dem Beschwerdeführer am 9. März 2021 zugestellt. Unter Berücksichtigung des Fristenstillstands an Ostern ( Art. 46 Abs. 1 lit. a BGG ) ist die "korrigierte Version" der "Einsprache" fristgerecht eingegangen. Sie ersetzt nach dem offenkundigen Willen des Beschwerdeführers die frühere Eingabe, weshalb sie im Folgenden als Beschwerde in Strafsachen zu behandeln ist, während die frühere Eingabe unberücksichtigt bleibt.</w:t>
      </w:r>
    </w:p>
    <w:p>
      <w:r>
        <w:rPr>
          <w:b/>
        </w:rPr>
        <w:t>E. 2.1</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6B_1513/2021 vom 10. Januar 2022 E. 4 mit Hinweis). 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6B_1288/2021 vom 24. November 2021 E. 2; 6B_1047/2018 vom 19. Februar 2019 E. 1.1.2; je mit Hinweisen).</w:t>
      </w:r>
    </w:p>
    <w:p>
      <w:r>
        <w:rPr>
          <w:b/>
        </w:rPr>
        <w:t>E. 2.2</w:t>
      </w:r>
    </w:p>
    <w:p>
      <w:r>
        <w:t>Diesen Anforderungen wird die Beschwerde nicht gerecht. Der Beschwerdeführer begnügt sich damit, wie bereits vor der Vorinstanz sein eigenes Narrativ und namentlich eine eigenständige Würdigung der Fotobogen auszubreiten, ohne sich auch nur ansatzweise mit den vorinstanzlichen Erwägungen auseinanderzusetzen, geschweige denn auf die erstinstanzlichen Überlegungen Bezug zu nehmen, um darzulegen, inwiefern die Vorinstanz Willkür zu Unrecht verneint haben soll. Damit genügt die Beschwerde den vor Bundesgericht geltenden Begründungsanforderungen nicht.</w:t>
      </w:r>
    </w:p>
    <w:p>
      <w:r>
        <w:rPr>
          <w:b/>
        </w:rPr>
        <w:t>E. 3</w:t>
      </w:r>
    </w:p>
    <w:p>
      <w:r>
        <w:t>Auf die Beschwerde wird im Verfahren nach Art. 108 BGG nicht eingetreten.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