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6B_380/2009 vom 7. Mai 2009</w:t>
      </w:r>
    </w:p>
    <w:p>
      <w:r>
        <w:t>Bundesgericht, 2009-05-07, FR</w:t>
      </w:r>
    </w:p>
    <w:p>
      <w:r>
        <w:rPr>
          <w:b/>
        </w:rPr>
        <w:t xml:space="preserve">Quelle: </w:t>
      </w:r>
      <w:r>
        <w:t>https://mcp.opencaselaw.ch/entscheid/bger_6B_380_2009</w:t>
      </w:r>
    </w:p>
    <w:p>
      <w:r>
        <w:t>FR: TF 6B_380/2009 du 7 mai 2009</w:t>
      </w:r>
    </w:p>
    <w:p>
      <w:r>
        <w:t>IT: TF 6B_380/2009 del 7 maggio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Seules ont qualité pour former un recours en matière pénale au Tribunal fédéral les personnes qui justifient d'un intérêt juridique à l'annulation ou à la modification de la décision attaquée (cf. art. 81 al. 1 let. b LTF , a contrario). Un intérêt de fait ne suffit pas.</w:t>
      </w:r>
    </w:p>
    <w:p>
      <w:r>
        <w:t>La loi pénale de fond ne confère à aucun particulier un droit à l'application des peines et mesures qu'elle prévoit. L'action pénale appartient exclusivement au ministère public, qui est, sous réserve d'exceptions prévues par la LAVI, le seul à pouvoir remettre en cause une décision favorable au prévenu (cf. ATF 133 IV 228 consid. 2 p. 229 ss).</w:t>
      </w:r>
    </w:p>
    <w:p>
      <w:r>
        <w:t>Ainsi, faute de justifier d'un droit à l'exercice de poursuites pénales contre les organes de Z.________ SA, notamment contre Y.________, X.________ n'a pas qualité pour recourir au Tribunal fédéral contre le non-lieu prononcé en faveur de ceux-ci. Son recours doit dès lors être écarté en application de l' art. 108 al. 1 let. a LTF .</w:t>
      </w:r>
    </w:p>
    <w:p>
      <w:r>
        <w:rPr>
          <w:b/>
        </w:rPr>
        <w:t>E. 2</w:t>
      </w:r>
    </w:p>
    <w:p>
      <w:r>
        <w:t>Le recourant, qui succombe, supportera les frais de justice, réduits en principe à 800 fr. lorsque l'arrêt est rendu par un juge unique.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