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380/2008 vom 4. August 2008</w:t>
      </w:r>
    </w:p>
    <w:p>
      <w:r>
        <w:t>Bundesgericht, 2008-08-04, FR</w:t>
      </w:r>
    </w:p>
    <w:p>
      <w:r>
        <w:rPr>
          <w:b/>
        </w:rPr>
        <w:t xml:space="preserve">Quelle: </w:t>
      </w:r>
      <w:r>
        <w:t>https://mcp.opencaselaw.ch/entscheid/bger_6B_380_2008</w:t>
      </w:r>
    </w:p>
    <w:p>
      <w:r>
        <w:t>FR: TF 6B 380/2008 du 4 août 2008</w:t>
      </w:r>
    </w:p>
    <w:p>
      <w:r>
        <w:t>IT: TF 6B 380/2008 del 4 agosto 2008</w:t>
      </w:r>
    </w:p>
    <w:p>
      <w:pPr>
        <w:pStyle w:val="Heading2"/>
      </w:pPr>
      <w:r>
        <w:t>Regeste</w:t>
      </w:r>
    </w:p>
    <w:p>
      <w:r>
        <w:t>Infractions à la LStup. | Infractions</w:t>
      </w:r>
    </w:p>
    <w:p>
      <w:pPr>
        <w:pStyle w:val="Heading2"/>
      </w:pPr>
      <w:r>
        <w:t>Erwägungen</w:t>
      </w:r>
    </w:p>
    <w:p>
      <w:r>
        <w:rPr>
          <w:b/>
        </w:rPr>
        <w:t>E. 1</w:t>
      </w:r>
    </w:p>
    <w:p>
      <w:r>
        <w:t>Le jugement attaqué a été rendu, en dernière instance cantonale, dans une cause de droit pénal. Il peut donc faire l'objet d'un recours en matière pénale au sens des art. 78 ss LTF , de sorte que le recours constitutionnel subsidiaire est exclu ( art. 113 LTF ). A lui seul, l'intitulé erroné d'une voie de recours ne nuit toutefois pas à son auteur, si les conditions d'une conversion en la voie de droit adéquate sont réunies ( ATF 131 I 291 consid. 1.3 p. 296; 126 II 506 consid. 1b p. 509 et les arrêts cités). Tel est en l'occurrence le cas. Les griefs soulevés par la recourante dans son recours constitutionnel subsidiaire peuvent en effet être invoqués dans un recours ordinaire, dès lors que le droit fédéral au sens de l' art. 95 let. a LTF comprend les droits constitutionnels. Subséquemment, le recours constitutionnel subsidiaire sera traité comme faisant partie intégrante du recours en matière pénale interjeté parallèlement.</w:t>
      </w:r>
    </w:p>
    <w:p>
      <w:r>
        <w:rPr>
          <w:b/>
        </w:rPr>
        <w:t>E. 2.1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3</w:t>
      </w:r>
    </w:p>
    <w:p>
      <w:r>
        <w:t>La recourante fait grief aux autorités cantonales d'avoir considéré qu'elle s'était rendue au Nigéria afin de s'y livrer au trafic de cocaïne. Comme en instance cantonale, elle leur reproche plus précisément d'avoir repris sa déposition au juge d'instruction dont elle remet en cause le contenu. Malgré l'assistance d'un interprète, elle n'aurait pas été en mesure de communiquer avec rigueur et précision en raison de ses difficultés en langue anglaise. Mal formulées et mal comprises, les déclarations enregistrées par le juge d'instruction ne retranscriraient pas la réalité des faits. Faute d'avoir été énoncées régulièrement, elles ne sauraient être retenues. En revanche, la condamnée se serait exprimée en parfaite connaissance de cause à l'audience de la Cour correctionnelle sans jury devant laquelle elle aurait clairement expliqué s'être déjà trouvée pour affaires au Nigéria lorsqu'elle y aurait été contactée et convaincue de transporter près de 4 kg de cocaïne à destination de la Suisse.</w:t>
      </w:r>
    </w:p>
    <w:p>
      <w:r>
        <w:rPr>
          <w:b/>
        </w:rPr>
        <w:t>E. 4.1</w:t>
      </w:r>
    </w:p>
    <w:p>
      <w:r>
        <w:t>L'art. 6 § 3 let. a CEDH garantit à l'accusé le droit d'être informé, dans le plus court délai, dans une langue qu'il comprend et d'une manière détaillée, de la nature et de la cause de l'accusation portée contre lui. A teneur de l'art. 6 § 3 let . e CEDH, tout accusé a droit à se faire assister gratuitement d'un interprète, s'il ne comprend pas ou ne parle pas la langue employée à l'audience. La condition sine qua non pour faire valoir un droit à l'interprète est qu'un problème de langue fasse obstacle au bon déroulement de la procédure ou lèse les droits du prévenu. Un interprète est nécessaire lorsque le prévenu ne comprend pas ce qui se dit et s'écrit, mais aussi lorsqu'il n'arrive pas à se faire comprendre (Jean-Marc Verniory, Les droits de la défense dans les phases préliminaires du procès pénal, Berne 2005, p. 437). Le droit à un interprète ne vaut pas seulement pour l'audience proprement dite, mais aussi pour l'instruction préparatoire (arrêt du 17 décembre 1991 du Tribunal fédéral 1P.74/1991 consid. 3a). Le prévenu n'a cependant pas un droit à ce que l'ensemble des opérations auxquelles il assiste lui soient traduites, mais le droit se limite aux actes importants dont le recourant doit avoir connaissance pour la défense de ses intérêts (Bauer/Cornu, Code de procédure pénale neuchâteloise annoté, art. 60, n. 4; Jean-Marc Verniory, op. cit. p. 441 s.). Selon la jurisprudence fédérale, le juge n'a pas à faire traduire d'office les principaux actes de procédure à l'intention du prévenu, mais ce dernier doit en faire la requête en temps utile ( ATF 118 Ia 462 consid. 2b p. 465).</w:t>
      </w:r>
    </w:p>
    <w:p>
      <w:r>
        <w:rPr>
          <w:b/>
        </w:rPr>
        <w:t>E. 4.2</w:t>
      </w:r>
    </w:p>
    <w:p>
      <w:r>
        <w:t>Lors de son audition par le juge d'instruction, la recourante était assistée d'un interprète de langue anglaise. A cette occasion, elle n'a cependant pas contesté la qualité de celui-ci. Elle n'a pas formulé de requête tendant à la désignation d'un traducteur officiant dans une autre langue. Elle n'a pas non plus indiqué avoir eu recours à un tel intermédiaire lors des conférences avec son défenseur. En outre, la communication entre les protagonistes à l'audience de la Cour correctionnelle sans jury a également été assurée par les soins d'un interprète de langue anglaise (cf. arrêt de la Cour correctionnelle sans jury du 20 décembre 2007 p. 2). Selon ses propres dires, l'intéressée a été en mesure de s'exprimer clairement devant cette dernière. On ne voit dès lors pas pour quel motif, dans des conditions identiques, elle n'aurait pas été à même de se faire correctement comprendre par le juge d'instruction. La désignation d'un interprète de langue anglaise n'a ainsi aucunement constitué un obstacle au bon déroulement de la procédure devant le juge d'instruction dont les procès-verbaux présentent une pleine valeur probante. Cela étant, le défaut d'interprète lors de l'audition de la condamnée par la police n'a pas porté atteinte au droit de celle-là à un procès équitable, tel qu'il découle des art. 29 al. 1 Cst. et 6 § 1 CEDH .</w:t>
      </w:r>
    </w:p>
    <w:p>
      <w:r>
        <w:rPr>
          <w:b/>
        </w:rPr>
        <w:t>E. 5.1</w:t>
      </w:r>
    </w:p>
    <w:p>
      <w:r>
        <w:t>La recourante reproche ensuite aux autorités cantonales d'avoir procédé à une appréciation arbitraire des preuves en privilégiant ses premières déclarations à sa seconde version des faits.</w:t>
      </w:r>
    </w:p>
    <w:p>
      <w:r>
        <w:rPr>
          <w:b/>
        </w:rPr>
        <w:t>E. 5.2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5.3</w:t>
      </w:r>
    </w:p>
    <w:p>
      <w:r>
        <w:t>Selon la Cour cantonale, la Cour correctionnelle avec jury n'a pas versé dans l'arbitraire en retenant les aveux que la recourante avait passés par deux fois lors de l'instruction préparatoire et en écartant - faute de tout fondement dans le dossier - sa seconde version des faits. Quoique très sommaire, la motivation de la cour intimée n'en est pas pour autant insoutenable. Les constatations cantonales sont en effet fondées sur les aveux passés par la recourante à la police. Cette dernière les a confirmés lors de son audition par le juge d'instruction. Dûment assistée d'un interprète, on ne voit pas qu'elle ne les aurait pas valablement consentis. Il est vrai qu'elle s'en est toutefois départie devant la Cour correctionnelle sans jury. En présence d'aveux, suivis de rétractation, le juge doit procéder conformément au principe de la libre appréciation des preuves ( art. 249 PPF ).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(cf. Hauser/Schweri, Schweizerisches Strafprozessrecht, 6ème éd., Bâle 2005, § 54, n. 4, p. 245; voir aussi Bender/Nack, Tatsachenfeststellung vor Gericht, vol. II, 2ème éd., Munich 1995, no 702 ss et no 755 ss; arrêt non publié du 21 mai 2001, 1P.193/2001 consid. 3b; arrêt non publié du 24 octobre 1997, 6P.108/1997 consid. 2b). En l'occurrence, la recourante a justifié la modification de sa déposition devant les autorités d'instruction en se prévalant d'une incompréhension linguistique. Ce motif ayant été considéré comme infondé (supra consid. 4.2), il ne subsiste aucune explication convaincante à sa rétractation subséquente, sauf à considérer que, dans l'intervalle, elle a mesuré et cherché à amoindrir la portée juridique de sa version initiale des faits. En effet, il n'existe aucun élément, ni indice de preuve susceptible d'étayer le fait qu'elle se serait déjà trouvée au Nigéria pour affaires lorsqu'elle aurait été approchée en vue de participer à un trafic de cocaïne à destination de la Suisse. Dans ces circonstances, il n'était pas arbitraire de retenir ses premières déclarations, lesquelles présentaient de surcroît le mérite de la spontanéité et dont, au demeurant, il n'a jamais été prétendu qu'elles auraient été faussement retranscrites, ni que leur sens ou leur portée auraient été mal interprétés. Cela étant, l'appréciation à laquelle ont procédé les premiers juges n'apparaît pas erronée et en tous cas pas insoutenable; en la confirmant, la Cour cantonale a elle-même rendu une décision exempte d'arbitraire.</w:t>
      </w:r>
    </w:p>
    <w:p>
      <w:r>
        <w:rPr>
          <w:b/>
        </w:rPr>
        <w:t>E. 6</w:t>
      </w:r>
    </w:p>
    <w:p>
      <w:r>
        <w:t>Enfin, la recourante invoque une violation de l' art. 47 CP .</w:t>
      </w:r>
    </w:p>
    <w:p>
      <w:r>
        <w:rPr>
          <w:b/>
        </w:rPr>
        <w:t>E. 6.1.1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dans l'ancien droit, le critère essentiel est celui de la faute. L'al. 1er reprend les critères des antécédents ainsi que de la situation personnelle et y ajoute la nécessité de prendre en considération l'effet de la peine sur l'avenir du condamné. Ce dernier critère correspond à la jurisprudence rendue sous l'ancien art. 63 CP , selon laquelle le juge doit éviter les sanctions qui pourraient détourner l'intéressé de l'évolution souhaitable ( ATF 128 IV 73 consid. 4 p. 79; 127 IV 97 consid. 3 p. 101). Que ce soit sous l'ancien ou le nouveau droit, cet aspect de prévention spéciale ne permet toutefois que des corrections marginales, la peine devant toujours rester proportionnée à la faute (Stratenwerth, Schweizerisches Strafrecht, Allgemeiner Teil II: Strafen und Massnahmen, 2e éd., Berne 2006, § 6, n. 72; Stratenwerth/Wohlers, Handkommentar, art. 47, n. 17 et 18; Schwarzenegger/Hug/Jositsch, Strafrecht II, Strafen und Massnahmen, 8e éd., Zurich 2007, p. 104). Codifiant la jurisprudence, l'al. 2 de l' art. 47 CP énumère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 ATF 129 IV 6 consid. 6.1). Comme l'ancien art. 63 CP , l' 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de sorte que le Tribunal fédéral, conformément à la pratique développée sous l'empire de l'ancien art. 63 CP , n'admettra un recours portant sur la quotité de la peine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6.1.2</w:t>
      </w:r>
    </w:p>
    <w:p>
      <w:r>
        <w:t>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 art. 19 ch. 2 let. a LStup . Il en va de même lorsque plusieurs des circonstances aggravantes prévues à l' 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consid. 2c p. 301;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Le nombre d'opérations constitue un indice supplémentaire permettant de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 ATF 122 IV 299 consid. 2b p. 301). Enfin, il faudra tenir compte des antécédents, qui comprennent aussi bien les condamnations antérieures que les circonstances de la vie passée, ainsi que du comportement du délinquant lors de la procédure. Le juge pourra atténuer la peine en raison de l'aveu ou de la bonne coopération de l'auteur de l'infraction avec les autorités policières ou judiciaires notamment si cette coopération a permis d'élucider des faits qui, à ce défaut, seraient restés obscurs ( ATF 121 IV 202 consid. 2d/aa p. 204; 118 IV 342 consid. 2d p. 349).</w:t>
      </w:r>
    </w:p>
    <w:p>
      <w:r>
        <w:rPr>
          <w:b/>
        </w:rPr>
        <w:t>E. 6.2.1</w:t>
      </w:r>
    </w:p>
    <w:p>
      <w:r>
        <w:t>La recourante reproche aux autorités cantonales de ne pas avoir tenu compte des lourdes conséquences de la peine sur son avenir et celui de ses enfants. Il ressort toutefois de l'arrêt attaqué que si la Cour correctionnelle sans jury n'a pas expressément indiqué qu'elle tenait compte de l'effet de la peine sur l'avenir de la recourante et sur celui de ses enfants, il ne lui avait pour autant pas échappé, même si elle n'avait pas spécifié dans l'arrêt qu'une peine privative de liberté prononcée sans sursis retarderait la prise d'un emploi fixe avec toutes les implications en résultant pour l'intéressée et ses enfants. Cela étant, les autorités cantonales ont considéré que les lourdes conséquences de la peine infligée ne suffisaient pas pour prononcer une sanction plus clémente au vu de l'importance des quantités de drogues mises en circulation en Suisse et le fait que l'intéressée avait déployé son activité à un niveau élevé dans un trafic international de stupéfiants.</w:t>
      </w:r>
    </w:p>
    <w:p>
      <w:r>
        <w:rPr>
          <w:b/>
        </w:rPr>
        <w:t>E. 6.2.2</w:t>
      </w:r>
    </w:p>
    <w:p>
      <w:r>
        <w:t>Pour le surplus, la Cour correctionnelle sans jury a tenu compte, dans la fixation de la peine, des circonstances personnelles de la recourante en constatant qu'elle était réfugiée en Espagne, mère de deux enfants en bas âge et sans antécédents judiciaires. Elle a également constaté que les infractions commises constituaient indiscutablement un cas grave - la limite de celui-ci étant établie à 18 g de cocaïne pure - compte tenu du type de drogue, de la quantité (3962 g) et de la qualité de celle-ci (65%) d'une valeur marchande d'environ un million de francs. La recourante y avait volontairement pris part en se rendant au Nigéria dans cette intention. Compte tenu de la rémunération prévue (8000 euros), de la saisie de plusieurs téléphones mobiles et cartes SIM, son rôle ne s'était à l'évidence pas apparenté à celui subalterne de mule. N'étant pas toxico-dépendante, elle avait agi de surcroît par appât pur du gain. Enfin, elle n'avait aucunement collaboré à l'enquête, cherchant au contraire à l'entraver en essayant d'éteindre son téléphone portable au moment de son arrestation.</w:t>
      </w:r>
    </w:p>
    <w:p>
      <w:r>
        <w:rPr>
          <w:b/>
        </w:rPr>
        <w:t>E. 6.3</w:t>
      </w:r>
    </w:p>
    <w:p>
      <w:r>
        <w:t>Au vu des éléments discutés ci-dessus, c'est à juste titre que les autorités cantonales ont retenu une lourde culpabilité à l'encontre de la recourante. La condamnation corrélative, qui n'excède pas le cadre de la peine maximale prévue par l' art. 19 LStup , n'apparaît pas procéder d'un excès ou d'un abus du large pouvoir d'appréciation dont disposait le premier juge, comme l'a retenu à juste titre la Cour cantonale. Le grief est infondé.</w:t>
      </w:r>
    </w:p>
    <w:p>
      <w:r>
        <w:rPr>
          <w:b/>
        </w:rPr>
        <w:t>E. 7</w:t>
      </w:r>
    </w:p>
    <w:p>
      <w:r>
        <w:t>Le recours est ainsi rejeté. Comme ses conclusions étaient d'emblée vouées à l'échec, l'assistance judiciaire ne peut être accordée à la recourante ( art. 64 al. 1 LTF ). Celle-ci supportera donc les frais, dont le montant sera toutefois arrêté en tenant compte de sa situation financière qui n'apparaît pas favorable, notamment en raison de sa détention (art. 65 al. 2 et 66 al. 1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