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37/2021 vom 1. März 2021</w:t>
      </w:r>
    </w:p>
    <w:p>
      <w:r>
        <w:t>Bundesgericht, 2021-03-01, FR</w:t>
      </w:r>
    </w:p>
    <w:p>
      <w:r>
        <w:rPr>
          <w:b/>
        </w:rPr>
        <w:t xml:space="preserve">Quelle: </w:t>
      </w:r>
      <w:r>
        <w:t>https://mcp.opencaselaw.ch/entscheid/bger_6B_37_2021</w:t>
      </w:r>
    </w:p>
    <w:p>
      <w:r>
        <w:t>FR: TF 6B 37/2021 du 1 mars 2021</w:t>
      </w:r>
    </w:p>
    <w:p>
      <w:r>
        <w:t>IT: TF 6B 37/2021 del 1 marzo 2021</w:t>
      </w:r>
    </w:p>
    <w:p>
      <w:pPr>
        <w:pStyle w:val="Heading2"/>
      </w:pPr>
      <w:r>
        <w:t>Regeste</w:t>
      </w:r>
    </w:p>
    <w:p>
      <w:r>
        <w:t>Jugement par défaut (détournement de valeurs patrimoniales mises sous main de justice, délit à la LAVS), conditions minimales d'une déclaration d'appel, non-entrée en matière | Procédure pénale</w:t>
      </w:r>
    </w:p>
    <w:p>
      <w:pPr>
        <w:pStyle w:val="Heading2"/>
      </w:pPr>
      <w:r>
        <w:t>Erwägungen</w:t>
      </w:r>
    </w:p>
    <w:p>
      <w:r>
        <w:rPr>
          <w:b/>
        </w:rPr>
        <w:t>E. 1</w:t>
      </w:r>
    </w:p>
    <w:p>
      <w:r>
        <w:t>En bref, la cour cantonale a considéré que le courrier du 31 juillet 2020 contenait, tout au plus, une demande de prolongation du délai d'appel pour pouvoir consulter un avocat. On n'y trouvait ni les mots "recours" ou "appel", ni mention que le jugement par défaut serait attaqué, même partiellement, ou que d'éventuelles modifications en seraient demandées. Dès lors qu'un avocat pouvait aussi être consulté pour obtenir des conseils ou des explications sur la procédure, on ne pouvait déduire de cette terminologie la volonté sans équivoque d'attaquer le jugement de première instance. Les conditions d'une restitution de délai n'étaient, par ailleurs, pas réalisées et, appréhendé comme une demande de nouveau jugement, le courrier du 31 juillet 2020 apparaissait tardif. Le recourant, qui invoque les garanties offertes par l' art. 6 CEDH , reproche à la cour cantonale un excès de formalisme. Le refus de lui restituer le délai le priverait de la possibilité de pouvoir être jugé équitablement.</w:t>
      </w:r>
    </w:p>
    <w:p>
      <w:r>
        <w:rPr>
          <w:b/>
        </w:rPr>
        <w:t>E. 2</w:t>
      </w:r>
    </w:p>
    <w:p>
      <w:r>
        <w:t>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 confiance (cf. arrêts 6B_170/2012 du 7 mai 2012 consid. 1.4.2; 4A_189/2011 du 4 juillet 2011 consid. 8.2 non publié aux ATF 137 III 389 ). Cette interprétation dite objective relève du droit et s'effectue non seulement d'après le texte et le contexte des déclarations mais également sur le vu des circonstances qui les ont précédées et accompagnées (cf. ATF 142 III 239 consid. 5.2.1 p. 253).</w:t>
      </w:r>
    </w:p>
    <w:p>
      <w:r>
        <w:rPr>
          <w:b/>
        </w:rPr>
        <w:t>E. 3</w:t>
      </w:r>
    </w:p>
    <w:p>
      <w:r>
        <w:t>En l'espèce, il est tout d'abord constant que le recourant a été jugé par défaut et que ce jugement lui a été notifié, d'emblée motivé, le 13 juillet 2020. Il s'ensuit qu'une éventuelle procédure d'appel ne nécessitait pas d'annonce d'appel ( art. 399 al. 1 CPP ), mais uniquement la déclaration prévue par l'al. 3 de ce même article, soit la réitération de l'intention de contester le jugement de première instance avec les indications prévues par l'art. 399 al. 3 let. a à c et al. 4 CPP ( ATF 138 IV 157 consid. 2.2 p. 159). Dans la mesure où le défaut de certaines de ces indications - celles, en particulier, ayant trait à l'étendue de l'appel - doit conduire l'autorité à fixer un délai à la partie afin de remédier à d'éventuelles imprécisions ( art. 400 al. 1 CPP ), et où, sauf en ce qui concerne les conclusions civiles ( art. 391 al. 1 let. b CPP ), ni la juridiction d'appel ni l'appelant ne sont liés par les conclusions prises par ce dernier, ni par les modifications proposées du dispositif, c'est la déclaration portant sur la volonté de contester le jugement qui est essentielle dans ce contexte. A cet égard, il est vrai que le recourant a requis, formellement, "un délai". Il reste que telle qu'elle était formulée, la demande du recourant, qui n'était pas assisté, tendait à lui permettre de se défendre et que cette requête intervenait ensuite d'un jugement par défaut comportant la condamnation ferme de l'intéressé à plusieurs mois de privation de liberté. Dans un tel contexte, la cour cantonale ne pouvait, de bonne foi, retenir que ce courrier ne manifestait pas, tout au moins par acte concluant, l'intention d'entreprendre le jugement par défaut.</w:t>
      </w:r>
    </w:p>
    <w:p>
      <w:r>
        <w:rPr>
          <w:b/>
        </w:rPr>
        <w:t>E. 4</w:t>
      </w:r>
    </w:p>
    <w:p>
      <w:r>
        <w:t>Il sied, par ailleurs, de considérer également que le recourant s'est adressé au Juge de police ensuite de la réception d'un jugement par défaut et que c'est à cette autorité qu'une demande de nouveau jugement devait être adressée ( art. 368 al. 1 CPP ). Il est vrai, comme l'a retenu la cour cantonale, qu'une éventuelle demande de nouveau jugement émise le 31 juillet 2020 l'aurait été postérieurement à l'échéance du délai de 10 jours de l' art. 368 al. 1 CPP . Toutefois, si la cour cantonale a bien examiné l'hypothèse d'une demande de restitution de délai ( art. 94 CPP ), elle a considéré que les conditions n'en étaient pas remplies dès lors que le recourant aurait disposé de suffisamment de temps entre le 13 juillet 2020 et le 31 juillet 2020 pour consulter un avocat. On comprend ainsi de ces motifs que la cour cantonale n'a pas envisagé l'éventualité d'une demande de restitution du délai pour demander un nouveau jugement, pour laquelle le recourant n'aurait disposé que du délai de 10 jours, échéant le 23 juillet 2020 ( art. 90 al. 1 et art. 368 al. 1 CPP ).</w:t>
      </w:r>
    </w:p>
    <w:p>
      <w:r>
        <w:rPr>
          <w:b/>
        </w:rPr>
        <w:t>E. 5</w:t>
      </w:r>
    </w:p>
    <w:p>
      <w:r>
        <w:t>Il s'ensuit que la décision entreprise doit être annulée en tant que la cour cantonale n'est pas entrée en matière sur l'appel. Elle doit l'être également en tant que la cour cantonale a renoncé à retransmettre le courrier du 31 juillet 2020 au premier juge en tant qu'éventuelle demande de nouveau jugement au seul motif qu'une telle demande aurait été tardive. La cause doit, dès lors, être renvoyée à la cour cantonale afin qu'elle transmette cette demande à l'autorité compétente pour examiner une éventuelle demande de restitution du délai pour demander un nouveau jugement. La cour cantonale procédera, pour le surplus, conformément à l' art. 371 CPP et poursuivra, le cas échéant, l'examen préalable de l'appel, en fixant, au besoin, au recourant un délai pour compléter sa déclaration. La cour cantonale réexaminera également, à la lumière de cette situation procédurale nouvelle, la demande du recourant de bénéficier d'un avocat d'office pour la procédure d'appel.</w:t>
      </w:r>
    </w:p>
    <w:p>
      <w:r>
        <w:rPr>
          <w:b/>
        </w:rPr>
        <w:t>E. 6</w:t>
      </w:r>
    </w:p>
    <w:p>
      <w:r>
        <w:t>Le recourant obtient gain de cause. Il y a lieu de statuer sans frais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