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6B_37/2013 vom 15. April 2013</w:t>
      </w:r>
    </w:p>
    <w:p>
      <w:r>
        <w:t>Bundesgericht, 2013-04-15, FR</w:t>
      </w:r>
    </w:p>
    <w:p>
      <w:r>
        <w:rPr>
          <w:b/>
        </w:rPr>
        <w:t xml:space="preserve">Quelle: </w:t>
      </w:r>
      <w:r>
        <w:t>https://mcp.opencaselaw.ch/entscheid/bger_6B_37_2013</w:t>
      </w:r>
    </w:p>
    <w:p>
      <w:r>
        <w:t>FR: TF 6B_37/2013 du 15 avril 2013</w:t>
      </w:r>
    </w:p>
    <w:p>
      <w:r>
        <w:t>IT: TF 6B_37/2013 del 15 aprile 2013</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L'objet du litige est circonscrit en l'espèce par la plainte déposée par les recourants le 11 octobre 2011 et la décision de classement y relative. Il porte sur des retraits qui auraient été indûment opérés du compte de la société E.________ ouvert auprès de D.________ SA.</w:t>
      </w:r>
    </w:p>
    <w:p>
      <w:r>
        <w:t>La plainte qui a fait l'objet du classement querellé ne mentionne en revanche pas la disparition d'un véhicule BMW 507 - dont les recourants indiquent qu'elle a été dénoncée au Ministère public genevois le 15 octobre 2012 - et ni la décision de classement, ni la décision attaquée ne statuent à cet égard. Les conclusions du recourant tendant à ce qu'il soit ordonné au Ministère public d'ouvrir et de conduire une procédure pénale en relation avec la disparition de la voiture précitée outrepassent l'objet du litige. Elles sont irrecevables, faute d'épuisement des voies de droit cantonales (cf. art. 80 al. 1 LTF ). Elles sont également irrecevables au motif qu'elles sont nouvelles au sens de l' art. 99 al. 2 LTF puisqu'elles n'avaient pas été soumises à la cour cantonale aux termes du recours déposé le 5 décembre 2011.</w:t>
      </w:r>
    </w:p>
    <w:p>
      <w:r>
        <w:t>A propos de l'infraction de blanchiment d'argent, les recourants se réfèrent à la dénonciation effectuée par D.________ SA le 10 février 2012 au Bureau de communication en matière de blanchiment d'argent (MROS). Ils indiquent que celle-ci fait état de l'ouverture d'un compte en juin 2010 pour les s?urs X.A.________ et Y.A.________, lequel a été crédité d'une somme de 5'340'243 dollars américains le 15 juillet 2010, au moyen de fonds provenant d'un compte ouvert auprès de G.________ dont l'ayant droit est A.________, père des deux s?urs précitées. Ce dernier compte avait lui-même été crédité en majeure partie par des fonds provenant du compte détenu par E.________. Cela étant, ces faits font l'objet d'une autre procédure ouverte par le Ministère public genevois (P/2450/2011). Les conclusions tendant à ce qu'il soit ordonné à celui-ci d'ouvrir et de conduire une procédure pénale pour blanchiment d'argent sont dès lors également irrecevables.</w:t>
      </w:r>
    </w:p>
    <w:p>
      <w:r>
        <w:rPr>
          <w:b/>
        </w:rPr>
        <w:t>E. 1.2</w:t>
      </w:r>
    </w:p>
    <w:p>
      <w:r>
        <w:t>Le recours est par ailleurs irrecevable pour un autre motif.</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249 consid. 1.1 p. 251). Lorsque, comme en l'espèce, le recours est dirigé contre une décision de classement, il n'est pas nécessaire que la partie plaignante ait déjà pris des conclusions civiles ( ATF 137 IV 246 consid. 1.3.1).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et le Tribunal fédéral n'entre en matière que s'il ressort de façon suffisamment précise de la motivation du recours que les conditions précitées sont réalisées, à moins que, compte tenu notamment de la nature de l'infraction alléguée, l'on puisse le déduire directement et sans ambiguïté ( ATF 137 IV 219 consid. 2.4 p. 222 s.; 127 IV 185 consid. 1a p. 187; 122 IV 139 consid. 1 p. 141; 120 IV 44 consid. I/4a p. 52 s.).</w:t>
      </w:r>
    </w:p>
    <w:p>
      <w:r>
        <w:rPr>
          <w:b/>
        </w:rPr>
        <w:t>E. 1.2.2</w:t>
      </w:r>
    </w:p>
    <w:p>
      <w:r>
        <w:t>Les recourants font valoir, en se fondant sur l'art. 1710 du code civil grec applicable à la succession de X.________, qu'ils ont acquis intégralement et en indivision l'ensemble des biens du précité au jour de son décès. En cas de condamnation pour abus de confiance des personnes visées par leur plainte pénale, ils pourraient à l'évidence, selon eux, élever des prétentions civiles d'un montant de 6'438'256 francs équivalant à la valeur des montants prélevés sur le compte ouvert auprès de D.________ SA au nom de la société E.________, qui n'est qu'une société-écran.</w:t>
      </w:r>
    </w:p>
    <w:p>
      <w:r>
        <w:t>A l'appui de cette dernière affirmation, les recourants expliquent que, pour des raisons fiscales et pour se protéger contre d'éventuelles actions judiciaires, X.________ détenait la quasi-totalité de ses biens par l'intermédiaire de sociétés, voire d'hommes de paille. Ils invoquent à cet égard que, selon la déclaration d'un dénommé H.________, E.________ était une société de domicile qui appartenait au défunt et dont les actions étaient détenues par l'avocat chypriote I.________, ce qui était confirmé par ce dernier. Cela étant, si la société de domicile n'a pas d'activité commerciale, elle sert néanmoins, principalement, à centraliser des activités étrangères sur les plans administratif et financier (cf. Bauen/Bernet/Rouiller, La société anonyme suisse, 2007, n. 1133 p. 439; Forstmoser/Meier-Hayoz/Nobel, Schweizerische Aktienrecht, 1996, 4ème éd., § 1 n° 44 p. 40). Le fait que E.________ soit une société de domicile n'est dès lors pas de nature à démontrer qu'elle n'est qu'un paravent qui dissimule des avoirs dont X.________ aurait été le seul véritable propriétaire. Les recourants relèvent que ce dernier était un homme d'affaires actif dans le transport maritime. Ils ne tentent cependant pas de démontrer, au moyen de pièces comptables par exemple, que la société n'avait aucune activité liée aux affaires du de cujus. Le fait que X.________ aurait été actionnaire de la société, comme les recourants l'affirment, ne suffit en outre pas pour considérer que les intéressés disposent de droits successoraux sur les fonds détenus par celle-ci, mais tout au plus qu'ils auraient des droits sur les actions elles-mêmes.</w:t>
      </w:r>
    </w:p>
    <w:p>
      <w:r>
        <w:t>Au surplus, les recourants avancent que X.________ était l'ayant droit économique des avoirs déposés sur le compte de la société E.________. Ce n'est toutefois pas ce qui ressort de la formule A que le précité a lui-même signée lors de l'ouverture du compte auprès de D.________ SA - laquelle a une vocation à prouver et bénéficie d'une crédibilité accrue (cf. arrêt 6S.346/1999 du 30 novembre 1999, publié in SJ 2000, p. 234 consid. 4c p. 238) - et qui désigne A.________. Au demeurant, même à supposer que le défunt était l'ayant droit économique des avoirs déposés, les recourants n'expliquent pas en quoi cet élément serait pertinent pour démontrer qu'ils disposeraient, de ce fait, de prétentions successorales sur les avoirs déposés. Cette conséquence ne peut en tout cas pas être tirée du seul article 1710 du code civil grec cité par les recourants, qui n'est qu'une disposition générale disposant que l'universalité de la succession passe aux héritiers du défunt au moment de son décès.</w:t>
      </w:r>
    </w:p>
    <w:p>
      <w:r>
        <w:t>Pour le surplus, les recourants n'invoquent aucun autre moyen de preuve qu'ils pourraient produire ou dont ils pourraient requérir l'administration afin d'appuyer leur thèse selon laquelle le défunt était le véritable propriétaire des biens déposés sur le compte dont la société E.________ est titulaire et duquel des avoirs auraient été indûment retirés.</w:t>
      </w:r>
    </w:p>
    <w:p>
      <w:r>
        <w:rPr>
          <w:b/>
        </w:rPr>
        <w:t>E. 1.2.3</w:t>
      </w:r>
    </w:p>
    <w:p>
      <w:r>
        <w:t>En définitive, les recourants n'ont pas apporté suffisamment d'éléments susceptibles de démontrer que les avoirs déposés sur le compte ouvert au nom de E.________ appartenaient au défunt et que par conséquent, en leur qualité d'héritiers, ils disposaient de droits sur ceux-ci. Il n'est dès lors pas établi que ce n'était pas la société, mais eux, qui seraient légitimés à faire valoir des prétentions civiles dans l'hypothèse où des avoirs auraient été indûment retirés du compte de celle-ci. La condition posée à l'art. 81 al. 1 let. b ch. 5 LTF n'est pas satisfaite. Les recourants ne peuvent pas fonder leur vocation à agir sur leur qualité de partie plaignante.</w:t>
      </w:r>
    </w:p>
    <w:p>
      <w:r>
        <w:t>L'hypothèse visée à l'art. 81 al. 1 let. b ch. 6 LTF n'entre par ailleurs pas en considération. Les recourants ne dénoncent enfin aucune violation de leurs droits de partie à la procédure équivalant à un déni de justice formel et ils ne peuvent se prévaloir d'aucun intérêt juridique à l'annulation de l'arrêt attaqué, la seule volonté de voir appliquer correctement le droit pénal fédéral étant à cet égard insuffisante (cf. ATF 133 IV 228 consid. 2.3 p. 231).</w:t>
      </w:r>
    </w:p>
    <w:p>
      <w:r>
        <w:rPr>
          <w:b/>
        </w:rPr>
        <w:t>E. 2</w:t>
      </w:r>
    </w:p>
    <w:p>
      <w:r>
        <w:t>Le recours est irrecevable. Les recourants, qui succombent, supportent les frais solidairement entre eux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