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6B_379/2024 vom 3. Dezember 2025</w:t>
      </w:r>
    </w:p>
    <w:p>
      <w:r>
        <w:t>Bundesgericht, 2025-12-03, DE</w:t>
      </w:r>
    </w:p>
    <w:p>
      <w:r>
        <w:rPr>
          <w:b/>
        </w:rPr>
        <w:t xml:space="preserve">Quelle: </w:t>
      </w:r>
      <w:r>
        <w:t>https://mcp.opencaselaw.ch/entscheid/bger_6B_379_2024</w:t>
      </w:r>
    </w:p>
    <w:p>
      <w:r>
        <w:t>FR: TF 6B_379/2024 du 3 décembre 2025</w:t>
      </w:r>
    </w:p>
    <w:p>
      <w:r>
        <w:t>IT: TF 6B_379/2024 del 3 dicembre 2025</w:t>
      </w:r>
    </w:p>
    <w:p>
      <w:pPr>
        <w:pStyle w:val="Heading2"/>
      </w:pPr>
      <w:r>
        <w:t>Erwägungen</w:t>
      </w:r>
    </w:p>
    <w:p>
      <w:r>
        <w:rPr>
          <w:b/>
        </w:rPr>
        <w:t>E. 1.1</w:t>
      </w:r>
    </w:p>
    <w:p>
      <w:r>
        <w:t>Die Beschwerde in Strafsachen ist in erster Linie ein reformatorisches Rechtsmittel ( Art. 107 Abs. 2 BGG ). Die Beschwerdeschrift muss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mit Hinweis). Allerdings reicht ein Begehren ohne Antrag in der Sache aus, wenn sich aus der Begründung zweifelsfrei ergibt, was mit der Beschwerde angestrebt wird ( BGE 137 II 313 E. 1.3; Urteile 6B_681/2024 vom 15. Januar 2025 E. 1; 6B_210/2021 vom 24. März 2022 E. 1; 6B_73/2021 vom 28. Februar 2022 E. 1.3; je mit Hinweisen).</w:t>
      </w:r>
    </w:p>
    <w:p>
      <w:r>
        <w:rPr>
          <w:b/>
        </w:rPr>
        <w:t>E. 1.2</w:t>
      </w:r>
    </w:p>
    <w:p>
      <w:r>
        <w:t>Der Beschwerdeführer stellt einen rein kassatorischen Antrag. Aus der Beschwerdebegründung ergibt sich jedoch zweifelsfrei, dass er eine Verletzung des Anspruchs auf rechtliches Gehör und insbesondere die Strafzumessung rügt, über welche nicht reformatorisch entschieden werden kann (Urteile 6B_687/2024, 6B_698/2024 vom 12. September 2025 E. 2.2. und 6B_681/2024 vom 15. Januar 2025 E. 1). Die Beschwerde erweist sich somit als zulässig.</w:t>
      </w:r>
    </w:p>
    <w:p>
      <w:r>
        <w:rPr>
          <w:b/>
        </w:rPr>
        <w:t>E. 2</w:t>
      </w:r>
    </w:p>
    <w:p>
      <w:r>
        <w:t>Die Beschwerde hat ein Begehren und eine Begründung zu enthalten ( Art. 42 Abs. 1 BGG ). 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3.1</w:t>
      </w:r>
    </w:p>
    <w:p>
      <w:r>
        <w:t>Der Beschwerdeführer rügt zunächst eine Verletzung der Begründungspflicht und des rechtlichen Gehörs durch die Vorinstanz. Diese habe übermässig oft auf das erstinstanzliche Urteil verwiesen, wodurch nicht ohne Weiteres erkennbar sei, welche tatsächlichen und rechtlichen Erwägungen der Vorinstanz massgebend seien. Die Rechtsmittelkontrollfunktion der gerichtlichen Begründungspflicht werde durch dieses Vorgehen unterlaufen, zumal die Verweise im Rahmen der Beweiswürdigung streitige Sachverhalte betreffen würden.</w:t>
      </w:r>
    </w:p>
    <w:p>
      <w:r>
        <w:rPr>
          <w:b/>
        </w:rPr>
        <w:t>E. 3.2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142 III 433 E. 4.3.2; je mit Hinweisen). Im Rechtsmittelverfahren kann das Gericht für die tatsächliche und die rechtliche Würdigung des angeklagten Sachverhalts auf die Begründung der Vorinstanz verweisen ( Art. 82 Abs. 4 StPO ).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strittigen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6B_94/2025 vom 10. November 2025 E. 1.3.3; 6B_1117/2023 vom 15. September 2025 E. 6.3; 6B_1116/2023 vom 10. Juni 2025 E. 1.1; je mit Hinweisen). Stimmt die Rechtsmittelinstanz grundsätzlich zu und hat sie bloss nebensächliche Vorbehalte, kann sie indes punktuelle Korrekturen formulieren und im Übrigen auf die vorinstanzliche Begründung verweisen (Urteil 6B_94/2025 vom 10. November 2025 E. 1.3.3 mit Hinweisen).</w:t>
      </w:r>
    </w:p>
    <w:p>
      <w:r>
        <w:rPr>
          <w:b/>
        </w:rPr>
        <w:t>E. 3.3</w:t>
      </w:r>
    </w:p>
    <w:p>
      <w:r>
        <w:t>Die Vorinstanz verweist sowohl bei der Sachverhaltsfeststellung als auch bei ihren rechtlichen Erwägungen in Anwendung von Art. 82 Abs. 4 StPO mehrmals auf das erstinstanzliche Urteil. Nicht zu beanstanden ist entgegen dem Beschwerdeführer zunächst, wenn die Vorinstanz auf die nochmalige, rein deskriptive Wiedergabe der Aktenlage, von Erkenntnissen aus der Observation sowie der Echtzeitüberwachung oder des Inhalts von Einvernahmen etc. verzichtet und hierfür auf die Vorinstanz verweist. Aus den weiteren, von ihm beanstandeten Verweisen ergibt sich sodann ohne Weiteres, was die massgebenden tatsächlichen Erwägungen der Vorinstanz sind. Letztere schliesst sich in Bezug auf verschiedene Anklagepunkte der erstinstanzlichen Sachverhaltsfeststellung vollumfänglich an und macht sie in ihrer Gesamtheit zum Bestandteil ihres eigenen Urteils (vgl. etwa angefochtenes Urteil S. 25: "Auch für die Beweiswürdigung kann - in Anwendung von Art. 82 Abs. 4 StPO - vollumfänglich auf die sorgfältige und überzeugende Würdigung durch die Vorinstanz verwiesen werden.") oder bringt lediglich punktuelle Ergänzungen an (angefochtenes Urteil S. 21: "Hinsichtlich der jeweils vom Beschuldigten bezogenen Mengen kann vorab - mit nachfolgender Präzisierung - auf die zutreffenden Ausführungen der Vorinstanz auf US 12 verwiesen werden."). Derartige Verweise sind entgegen der Argumentation des Beschwerdeführers auch bei vorliegend strittigen Sachverhalten möglich. Dass das Berufungsurteil im Zusammenhang mit dem erstinstanzlichen Urteil gelesen werden muss, ergibt sich aus der Möglichkeit des Verweises gemäss Art. 82 Abs. 4 StPO und führt nicht zu einer Verletzung der Begründungspflicht. Soweit der Beschwerdeführer geltend macht, es sei nicht erkennbar, weshalb die Rechtsmittelinstanz eine Rüge nicht als begründet beziehungsweise als unzureichend begründet eingestuft habe, so führt er nicht aus, auf welche Rügen im vorinstanzlichen Verfahren er sich bezieht. Es ist nicht Aufgabe des Bundesgerichts, den angefochtenen Entscheid auf pauschale Behauptung hin mit den im kantonalen Verfahren vorgebrachten Rügen abzugleichen, um zu kontrollieren, ob die Vorinstanz alle Argumente ausreichend geprüft hat. Die Rüge ist folglich unbegründet, soweit darauf überhaupt eingetreten werden kann (vgl. E. 2 hiervor).</w:t>
      </w:r>
    </w:p>
    <w:p>
      <w:r>
        <w:rPr>
          <w:b/>
        </w:rPr>
        <w:t>E. 4.1</w:t>
      </w:r>
    </w:p>
    <w:p>
      <w:r>
        <w:t>Weiter macht der Beschwerdeführer eine bundesrechtswidrige Beweiswürdigung und eine Verletzung des Grundsatzes "in dubio pro reo" geltend. Die objektiven Beweismittel würden mehrheitlich zu keinen handfesten Mengenangaben führen. Zudem würden die vorinstanzlichen Feststellungen zur Menge des gekauften Kokains den rechtskräftigen Urteilen gegen B.________ und C.________ bzw. D.________ widersprechen. Gestützt auf die zu grosse Menge an Betäubungsmitteln sei auch die Strafzumessung nicht zutreffend.</w:t>
      </w:r>
    </w:p>
    <w:p>
      <w:r>
        <w:rPr>
          <w:b/>
        </w:rPr>
        <w:t>E. 4.2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4.3</w:t>
      </w:r>
    </w:p>
    <w:p>
      <w:r>
        <w:t>Die vorinstanzliche Beweiswürdigung lässt entgegen der Kritik des Beschwerdeführers keine Willkür erkennen. Die Vorinstanz legt mit Verweisen auf das erstinstanzliche Urteil überzeugend dar, weshalb sie zur Erkenntnis gelangt, der Beschwerdeführer habe insgesamt 4,75 kg Kokaingemisch erworben und 3,838 kg Kokaingemisch verkauft. Festzuhalten ist diesbezüglich, dass der Beschwerdeführer im Berufungsverfahren eine Kaufmenge von 3,5 kg Kokaingemisch, und damit weit über der Grenze zum schweren Fall, zugestanden hat. Schätzungen hinsichtlich der Drogenmenge sind nach der Rechtsprechung in solchen Fällen grundsätzlich zulässig, soweit sie sich nicht genau belegen lässt (ausführlich dazu Urteile 6B_1260/2023 vom 7. Mai 2025 E. 3.4; 6B_726/2020 vom 28. Juni 2021 E. 2.4.1 und 2.4.5). Weshalb die vorinstanzliche Beweiswürdigung schlechterdings unhaltbar und damit geradezu willkürlich sein soll, vermag der Beschwerdeführer mit seinen pauschalen Bestreitungen, die Drogenmenge sei nicht erwiesen, nicht aufzuzeigen. Die Sachverhaltsrügen des Beschwerdeführers erschöpfen sich in einer unzulässigen appellatorischen Kritik am angefochtenen Entscheid. Darauf ist nicht einzutreten. Ebenso wenig vermag der Beschwerdeführer durch seinen pauschalen Verweis auf das Urteil des Regionalgerichts Emmental-Oberaargau vom 25. Juni 2021 gegen B.________ aufzuzeigen, inwiefern die Vorinstanz in Willkür verfallen wäre.</w:t>
      </w:r>
    </w:p>
    <w:p>
      <w:r>
        <w:rPr>
          <w:b/>
        </w:rPr>
        <w:t>E. 4.4</w:t>
      </w:r>
    </w:p>
    <w:p>
      <w:r>
        <w:t>Da der Beschwerdeführer seine Rüge der unzutreffenden Strafzumessung lediglich mit der Menge an Betäubungsmitteln begründet, ist darauf nicht weiter einzugehen.</w:t>
      </w:r>
    </w:p>
    <w:p>
      <w:r>
        <w:rPr>
          <w:b/>
        </w:rPr>
        <w:t>E. 5.1</w:t>
      </w:r>
    </w:p>
    <w:p>
      <w:r>
        <w:t>Schliesslich rügt der Beschwerdeführer eine bundesrechtswidrige Anwendung von Art. 19 Abs. 2 BetmG und Art. 47 StGB . Die bundesgerichtliche Praxis bezüglich Auslegung des unbestimmten Rechtsbegriffes "mittelbar oder unmittelbar die Gesundheit vieler Menschen in Gefahr bringen" in Art. 19 Abs. 2 lit. a BetmG sei nicht mehr zeitgemäss; die vom Bundesgericht festgelegte Mindestmenge werde von der Lehre als zu tief kritisiert.</w:t>
      </w:r>
    </w:p>
    <w:p>
      <w:r>
        <w:rPr>
          <w:b/>
        </w:rPr>
        <w:t>E. 5.2</w:t>
      </w:r>
    </w:p>
    <w:p>
      <w:r>
        <w:t>Gemäss Art. 19 Abs. 1 BetmG macht sich unter anderem strafbar, wer Betäubungsmittel unbefugt veräussert, verordnet, auf andere Weise einem anderen verschafft oder in Verkehr bringt (lit. c), oder wer Betäubungsmittel unbefugt besitzt, aufbewahrt, erwirbt oder auf andere Weise erlangt (lit. d).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Nach der langjährigen Rechtsprechung ist die Schwelle zu einem qualifizierten Fall überschritten und von einer Gefährdung der Gesundheit vieler Menschen (d.h.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(vgl. BGE 150 IV 213 E. 1.4; 145 IV 312 E. 2.1.1-2.1.3; Urteile 6B_1280/2022 vom 4. Mai 2023 E. 4.1.1; 6B_1078/2022 vom 25. Januar 2023 E. 3.1.2; je mit Hinweisen).</w:t>
      </w:r>
    </w:p>
    <w:p>
      <w:r>
        <w:rPr>
          <w:b/>
        </w:rPr>
        <w:t>E. 5.3</w:t>
      </w:r>
    </w:p>
    <w:p>
      <w:r>
        <w:t>Entgegen der Auffassung des Beschwerdeführers besteht kein Anlass für eine Praxisänderung. 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andernfalls ist die bisherige Praxis beizubehalten (vgl. BGE 145 III 303 E. 4.1.2 ; 145 I 227 E. 4; je mit Hinweisen). Der Beschwerdeführer beruft sich insbesondere auf BGE 145 IV 312 , wonach die Schwelle von 20 Personen, die zur Beurteilung des Kriteriums «viele Menschen» herangezogen würden, immer diskutiert werden könne. Er übersieht dabei jedoch, dass das Bundesgericht in diesem Entscheid explizit festgehalten hat, es seien keine Gründe ersichtlich, die Interpretation dieses unbestimmten Rechtsbegriffs zu revidieren, da Rechtssicherheit und Gleichbehandlung für klare und einheitliche Regeln sprechen würden ( BGE 145 IV 312 E. 2.1.3). Er macht nicht substanziiert geltend, in den letzten sechs Jahren hätten sich die äusseren Verhältnisse oder die Rechtsanschauung gewandelt. Derartiges ist auch nicht ersichtlich.</w:t>
      </w:r>
    </w:p>
    <w:p>
      <w:r>
        <w:rPr>
          <w:b/>
        </w:rPr>
        <w:t>E. 6</w:t>
      </w:r>
    </w:p>
    <w:p>
      <w:r>
        <w:t>Die Beschwerde ist aus den genannten Gründen abzuweisen, soweit darauf einzutreten ist. Bei diesem Ausgang des Verfahrens hat der Beschwerdeführer die Gerichtskosten zu tragen ( Art. 66 Abs. 1 BGG ). Sein Gesuch um unentgeltliche Rechtspflege ist abzuweisen, weil die Beschwerde von vornherein aussichtslos war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