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6B_378/2010 vom 15. Juli 2010</w:t>
      </w:r>
    </w:p>
    <w:p>
      <w:r>
        <w:t>Bundesgericht, 2010-07-15, FR</w:t>
      </w:r>
    </w:p>
    <w:p>
      <w:r>
        <w:rPr>
          <w:b/>
        </w:rPr>
        <w:t xml:space="preserve">Quelle: </w:t>
      </w:r>
      <w:r>
        <w:t>https://mcp.opencaselaw.ch/entscheid/bger_6B_378_2010</w:t>
      </w:r>
    </w:p>
    <w:p>
      <w:r>
        <w:t>FR: TF 6B_378/2010 du 15 juillet 2010</w:t>
      </w:r>
    </w:p>
    <w:p>
      <w:r>
        <w:t>IT: TF 6B_378/2010 del 15 luglio 2010</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notamment la victime, si la décision attaquée peut avoir des effets sur le jugement de ses prétentions civiles (ch. 5).</w:t>
      </w:r>
    </w:p>
    <w:p>
      <w:r>
        <w:t>Le lésé a ainsi qualité pour contester le bien-fondé du refus de suivre, du non-lieu ou de l'acquittement s'il allègue, de manière recevable au regard des art. 97 al. 1, 105 al. 2 et 106 al. 2 LTF, que l'infraction dénoncée l'a directement atteint dans son intégrité corporelle, sexuelle ou psychique et démontre que le refus de suivre litigieux peut avoir des effets sur le jugement de ses prétentions civiles ( art. 1 al. 1 LAVI dans sa teneur en vigueur depuis le 1er janvier 2009 ainsi que l'ancien art. 2 LAVI dans sa teneur en vigueur jusqu'au 31 décembre 2008; art. 81 al. 1 let. b ch. 5 LTF). La doctrine et la jurisprudence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p. 218).</w:t>
      </w:r>
    </w:p>
    <w:p>
      <w:r>
        <w:rPr>
          <w:b/>
        </w:rPr>
        <w:t>E. 1.1</w:t>
      </w:r>
    </w:p>
    <w:p>
      <w:r>
        <w:t>Le recourant conclut à ce que Y.________ soit reconnu coupable de complicité de séquestration. Il ne démontre pas que cette infraction, constituée, à son avis, par le fait d'avoir été menotté, aurait eu des répercussions sensibles sur son intégrité physique ou psychique. Il ne produit notamment aucun certificat médical attestant d'un quelconque traumatisme. Il n'a donc pas la qualité pour recourir sur ce point.</w:t>
      </w:r>
    </w:p>
    <w:p>
      <w:r>
        <w:rPr>
          <w:b/>
        </w:rPr>
        <w:t>E. 1.2</w:t>
      </w:r>
    </w:p>
    <w:p>
      <w:r>
        <w:t>Le recourant conclut également à ce que Y.________ soit reconnu coupable de complicité de lésions corporelles simples. Selon les déclarations de l'intéressé, le spray au poivre lui a brûlé la bouche, le nez et les yeux; il ne pouvait plus ouvrir les yeux; depuis les faits, il ne peut plus aller dans l'établissement en question, car il ne sait pas ce qu'il peut lui arriver. Il a des craintes et a ressenti cette histoire comme une injustice. Dans ses écritures, le recourant conclut au versement d'une indemnité pour tort moral d'un montant de 500 fr. pour avoir été sprayé et menotté. Il ne dit toutefois rien quant à l'intensité des brûlures subies et ne précise pas la durée des douleurs causées par le spray au poivre. Il ne produit pas non plus de certificat médical attestant d'un éventuel traumatisme physique ou psychique. Il ne résulte pas davantage des constatations cantonales qu'il aurait dû se rendre chez un médecin, que les douleurs subies auraient été intenses ou même d'une certaine durée. Au contraire, la police, qui l'a pris en charge à la discothèque, explique simplement que l'intéressé avait les yeux rouges. On ne sait pas non plus quel genre de spray au poivre a été utilisé et quel était sa nocivité. Sur le vu de ce qui précède, le recourant ne démontre pas, ni ne rend vraisemblable que l'atteinte physique et psychique alléguée serait objectivement d'une intensité lui conférant la qualité de victime LAVI. Il est donc douteux qu'il ait la qualité pour recourir en application de l' art. 81 ch. 5 LTF . Cette question peut toutefois rester indécise vu le sort du grief.</w:t>
      </w:r>
    </w:p>
    <w:p>
      <w:r>
        <w:t>En effet, selon la jurisprudence,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Dans les cas limites, il faut tenir compte de l'importance de la douleur provoquée, afin de déterminer s'il s'agit de lésions corporelles simples ou de voies de fait ( ATF 134 IV 189 consid. 1.3 p. 191 s.). En l'occurrence, il ne résulte pas de l'arrêt entrepris, ni des allégations du recourant, que celui-ci aurait subi des douleurs suffisamment vives et durables pour pouvoir être qualifiées de lésions corporelles simples. Selon les constatations cantonales, l'un des gendarmes, arrivé sur les lieux, a expliqué que X.________ avait les yeux rouges et présentait les symptômes d'une personne qui avait été sprayée. Les policiers n'ont en revanche jamais mentionné des souffrances, ni même un état douloureux chez l'intéressé qui a été conduit au poste où il a pu se doucher. Au regard de ces éléments, le "sprayage" subi doit être considéré comme des voies de fait, lesquelles constituent une contravention au sens de l' art. 103 CP , ce qui exclut la punissabilité de la complicité (cf. art. 105 al. 2 et 126 al. 1 CP). Le grief doit donc être rejeté dans la mesure de sa recevabilité.</w:t>
      </w:r>
    </w:p>
    <w:p>
      <w:r>
        <w:rPr>
          <w:b/>
        </w:rPr>
        <w:t>E. 2</w:t>
      </w:r>
    </w:p>
    <w:p>
      <w:r>
        <w:t>Invoquant une application arbitraire du droit cantonal, le recourant se plaint de sa condamnation au paiement des dépens de l'intimé. Il relève que ce dernier n'était pas en droit de procéder à son arrestation, sauf à être mis au bénéfice d'une erreur.</w:t>
      </w:r>
    </w:p>
    <w:p>
      <w:r>
        <w:rPr>
          <w:b/>
        </w:rPr>
        <w:t>E. 2.1</w:t>
      </w:r>
    </w:p>
    <w:p>
      <w:r>
        <w:t>Aux termes de l' art. 302 al. 1 CPP /JU, la partie plaignante qui succombe supporte, en règle générale, les frais de défense du prévenu lorsque ce dernier en réclame, à moins qu'il ne paraisse inéquitable de les mettre à la charge de la partie plaignante.</w:t>
      </w:r>
    </w:p>
    <w:p>
      <w:r>
        <w:rPr>
          <w:b/>
        </w:rPr>
        <w:t>E. 2.2</w:t>
      </w:r>
    </w:p>
    <w:p>
      <w:r>
        <w:t>Dans le cas particulier, la Cour cantonale a relevé que la partie plaignante, qui succombait, devait, conformément à sa jurisprudence relative à la disposition précitée, supporter les frais de défense du prévenu. Elle a souligné qu'aucune circonstance ne permettait de s'écarter de cette règle. Cette dernière appréciation n'est pas arbitraire quand bien même l'intimé n'était pas en droit de procéder à l'arrestation du recourant, sauf à être mis au bénéfice d'une erreur sur les faits. Le grief est donc vain.</w:t>
      </w:r>
    </w:p>
    <w:p>
      <w:r>
        <w:rPr>
          <w:b/>
        </w:rPr>
        <w:t>E. 3</w:t>
      </w:r>
    </w:p>
    <w:p>
      <w:r>
        <w:t>Le recours doit ainsi être rejeté dans la mesure où il est recevable. Le recourant, dont les conclusions étaient dépourvues de toute chance de succès, doit être débouté de sa demande d'assistance judiciaire ( art. 66, 1 LTF a contrario) et supporter les frais de justice ( art. 66 al. 1 LTF ), réduits à 800 fr.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