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6B_376/2020 vom 17. September 2020</w:t>
      </w:r>
    </w:p>
    <w:p>
      <w:r>
        <w:t>Bundesgericht, 2020-09-17, FR</w:t>
      </w:r>
    </w:p>
    <w:p>
      <w:r>
        <w:rPr>
          <w:b/>
        </w:rPr>
        <w:t xml:space="preserve">Quelle: </w:t>
      </w:r>
      <w:r>
        <w:t>https://mcp.opencaselaw.ch/entscheid/bger_6B_376_2020</w:t>
      </w:r>
    </w:p>
    <w:p>
      <w:r>
        <w:t>FR: TF 6B_376/2020 du 17 septembre 2020</w:t>
      </w:r>
    </w:p>
    <w:p>
      <w:r>
        <w:t>IT: TF 6B_376/2020 del 17 settembre 2020</w:t>
      </w:r>
    </w:p>
    <w:p>
      <w:pPr>
        <w:pStyle w:val="Heading2"/>
      </w:pPr>
      <w:r>
        <w:t>Erwägungen</w:t>
      </w:r>
    </w:p>
    <w:p>
      <w:r>
        <w:rPr>
          <w:b/>
        </w:rPr>
        <w:t>E. 1</w:t>
      </w:r>
    </w:p>
    <w:p>
      <w:r>
        <w:t>Le recourant reproche à l'autorité précédente d'avoir violé son droit d'être entendu en ne se prononçant pas sur divers griefs soulevés dans le cadre de son appel.</w:t>
      </w:r>
    </w:p>
    <w:p>
      <w:r>
        <w:rPr>
          <w:b/>
        </w:rPr>
        <w:t>E. 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w:t>
      </w:r>
    </w:p>
    <w:p>
      <w:r>
        <w:rPr>
          <w:b/>
        </w:rPr>
        <w:t>E. 1.2</w:t>
      </w:r>
    </w:p>
    <w:p>
      <w:r>
        <w:t>En l'espèce, la cour cantonale n'a pas ignoré les griefs concernés, qu'elle a expressément mentionnés dans l'arrêt attaqué, ce qu'admet d'ailleurs le recourant (cf. arrêt attaqué, p. 4 s.). Après avoir exposé les dispositions de la LAVS applicables et avoir établi les faits, l'autorité précédente a procédé au syllogisme juridique, pour conclure à la culpabilité du recourant. On comprend ainsi qu'elle a implicitement jugé sans pertinence les arguments présentés par celui-ci à propos de l'application des dispositions en question. Le recourant l'a d'ailleurs bien compris, puisqu'il indique dans son mémoire au Tribunal fédéral, à propos des griefs litigieux, que la cour cantonale les a "implicitement écartés". S'agissant enfin de la question de l'intention, le recourant perd de vue qu'il s'agit d'un élément de fait et non de droit, de sorte que la cour cantonale pouvait traiter cet aspect en lien avec l'établissement des faits.</w:t>
      </w:r>
    </w:p>
    <w:p>
      <w:r>
        <w:t>Le grief doit ainsi être rejeté.</w:t>
      </w:r>
    </w:p>
    <w:p>
      <w:r>
        <w:rPr>
          <w:b/>
        </w:rPr>
        <w:t>E. 2</w:t>
      </w:r>
    </w:p>
    <w:p>
      <w:r>
        <w:t>Le recourant reproche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que le recourant était l'administrateur secrétaire, avec signature individuelle, de B.________ SA, depuis l'inscription de la société au Registre du commerce le 14 février 2011. Le recourant avait expliqué qu'il était en charge du traitement du courrier de la société. En lien avec B.________ SA, le recourant avait tantôt expliqué avoir effectivement reçu des formulaires à remplir de l'OCAS, tantôt qu'il ne s'en souvenait plus, ou encore qu'il n'avait rien trouvé dans le dossier de cette société et que le facteur ne trouvait pas son nom sur la boîte à lettres qui portait encore la raison sociale d'une douzaine de sociétés. Selon l'autorité précédente, ces explications n'étaient pas convaincantes car elles avaient manqué de constance. L'OCAS avait envoyé pas moins de 15 courriers entre février 2011 et septembre 2017, systématiquement à l'adresse de la raison sociale de B.________ SA depuis le 18 février 2011, dont une amende d'ordre notifiée par un pli recommandé du 31 mars 2014. S'il pouvait subsister un doute concernant la réception par la société du courrier de l'OCAS du 18 février 2011, adressé à B.________ SA à une adresse qui n'était pas encore le siège social inscrit au Registre du commerce, le recourant ne pouvait soutenir ne pas avoir reçu les 14 courriers subséquents, lesquels n'avaient d'ailleurs pas été retournés à l'OCAS par la poste. Les envois en question étaient donc bien parvenus dans la sphère de connaissance de B.________ SA. Il n'était donc pas douteux que le recourant eût connaissance des demandes de l'OCAS et des conséquences pénales auxquelles il s'exposait en cas de refus de renseigner. Le recourant ne pouvait soutenir qu'il ne devait pas s'attendre à recevoir un courrier de l'OCAS au motif que la société concernée n'avait pas d'activité. Il exerçait une activité d'expert-comptable depuis 1990 et ne se cachait pas de gérer plus d'une dizaine de sociétés. En s'abstenant de donner la suite requise aux termes des courriers de l'OCAS des 7 mars, 9 juin et 1er septembre 2017, l'intéressé avait sciemment violé l' art. 88 al. 1 LAVS .</w:t>
      </w:r>
    </w:p>
    <w:p>
      <w:r>
        <w:rPr>
          <w:b/>
        </w:rPr>
        <w:t>E. 2.3</w:t>
      </w:r>
    </w:p>
    <w:p>
      <w:r>
        <w:t>Le recourant se prévaut tout d'abord de la jurisprudence concernant la notification d'actes juridiques, pour affirmer que la preuve de la réception d'un pli simple ne pourrait être apportée, une erreur dans la distribution ne pouvant être exclue. Il se méprend toutefois sur la portée du principe qu'il invoque. La jurisprudence a certes reconnu que l'autorité supporte les conséquences de l'absence de preuve de notification en ce sens que si celle-ci ou sa date sont contestées et qu'il existe effectivement un doute à ce sujet, il y a lieu de se fonder sur les déclarations du destinataire de l'envoi. Elle précise cependant que la preuve de la notification peut résulter d'autres indices ou de l'ensemble des circonstances, par exemple un échange de correspondances ultérieur ou le comportement du destinataire (cf. ATF 145 IV 252 consid. 1.3.2 p. 254; 144 IV 57 consid. 2.3.2 p. 62; 142 IV 125 consid. 4.3 p. 128). En l'occurrence, la cour cantonale a établi, sur la base des déclarations du recourant et des circonstances de l'affaire - en se fondant en particulier sur le nombre important de courriers envoyés à l'adresse de B.________ SA et restés systématiquement sans réponse -, que les envois de l'OCAS des 7 mars, 9 juin et 1er septembre 2017 étaient bien parvenus à la connaissance du recourant. Ce constat ne porte aucunement atteinte à la jurisprudence précitée.</w:t>
      </w:r>
    </w:p>
    <w:p>
      <w:r>
        <w:t>Pour le reste, l'argumentation du recourant - purement appellatoire et, partant, irrecevable - ne démontre aucunement que l'état de fait de la cour cantonale pourrait être entaché d'arbitraire. Le grief doit ainsi être rejeté dans la mesure où il est recevable.</w:t>
      </w:r>
    </w:p>
    <w:p>
      <w:r>
        <w:rPr>
          <w:b/>
        </w:rPr>
        <w:t>E. 3</w:t>
      </w:r>
    </w:p>
    <w:p>
      <w:r>
        <w:t>Le recourant conteste sa condamnation à titre de l' art. 88 al. 1 LAVS .</w:t>
      </w:r>
    </w:p>
    <w:p>
      <w:r>
        <w:rPr>
          <w:b/>
        </w:rPr>
        <w:t>E. 3.1</w:t>
      </w:r>
    </w:p>
    <w:p>
      <w:r>
        <w:t>Aux termes de l' art. 88 al. 1 LAVS , sera puni d'une amende, à moins qu'il ne s'agisse d'un cas prévu à l' art. 87 LAVS , celui qui viole son obligation de renseigner en donnant sciemment des renseignements inexacts ou refuse d'en donner.</w:t>
      </w:r>
    </w:p>
    <w:p>
      <w:r>
        <w:t>Selon l' art. 89 al. 1 LAVS , si l'infraction est commise dans la gestion d'une personne morale, d'une société de personnes ou d'une maison à raison commerciale individuelle, les dispositions pénales des art. 87 et 88 LAVS sont applicables aux personnes qui ont agi ou auraient dû agir en son nom. En règle générale, la personne morale, la société de personnes ou le titulaire de la maison à raison commerciale individuelle sont toutefois tenus solidairement du paiement de l'amende et des frais.</w:t>
      </w:r>
    </w:p>
    <w:p>
      <w:r>
        <w:t>L' art. 91 al. 1 LAVS dispose que celui qui se rend coupable d'une infraction aux prescriptions d'ordre et de contrôle sans que cette infraction soit punissable conformément aux art. 87 et 88 LAVS , sera, après avertissement, puni par la caisse de compensation d'une amende d'ordre de 1'000 fr. au plus. En cas de récidive dans les deux ans, une amende allant jusqu'à 5'000 fr. pourra être prononcée.</w:t>
      </w:r>
    </w:p>
    <w:p>
      <w:r>
        <w:rPr>
          <w:b/>
        </w:rPr>
        <w:t>E. 3.2</w:t>
      </w:r>
    </w:p>
    <w:p>
      <w:r>
        <w:t>L'autorité précédente a considéré qu'en s'abstenant de donner la suite requise aux termes des courriers de l'OCAS des 7 mars, 9 juin et 1er septembre 2017, le recourant avait sciemment violé l' art. 88 al. 1 LAVS .</w:t>
      </w:r>
    </w:p>
    <w:p>
      <w:r>
        <w:rPr>
          <w:b/>
        </w:rPr>
        <w:t>E. 3.3</w:t>
      </w:r>
    </w:p>
    <w:p>
      <w:r>
        <w:t>Le recourant se réfère aux art. 34a et 36 du règlement sur l'assurance-vieillesse et survivants (RAVS; RS 831.101), qui s'adressent aux "personnes tenues de payer des cotisations", respectivement aux employeurs. Selon lui, dès lors que B.________ SA ne déployait aucune activité ni n'avait d'employé, la société n'aurait eu aucune obligation de fournir un décompte relatif aux salaires.</w:t>
      </w:r>
    </w:p>
    <w:p>
      <w:r>
        <w:t>L'obligation de renseigner, au sens de l' art. 88 al. 1 LAVS - disposition sur la base de laquelle le recourant a été condamné -, est celle visée par l'art. 209 al. 2 et 3RAVS (cf. GABRIELLE WEISSBRODT, Les dispositions pénales LAVS, in Panorama III en droit du travail, 2017, 407 ss, 433; cf. aussi Directives de l'OFAS sur la perception des cotisations [DP] dans l'AVS, AI et APG, état : 1er janvier 2020, no 9010). Aux termes de l' art. 209 RAVS , les personnes exerçant une activité lucrative indépendante, les personnes n'exerçant aucune activité lucrative et les salariés dont l'employeur n'est pas tenu de payer des cotisations doivent fournir aux caisses de compensation des renseignements conformes à la vérité, dans la mesure où ces renseignements sont nécessaires à l'application de l'assurance-vieillesse et survivants (al. 2). Les caisses de compensation, les employeurs et tous les autres organes et personnes chargés de l'exécution de la LAVS ou du contrôle de cette exécution, ainsi que les assurés, sont tenus de donner à l'OFAS tous les renseignements et de lui communiquer toutes les pièces dont il a besoin dans l'exercice de sa surveillance (al. 3).</w:t>
      </w:r>
    </w:p>
    <w:p>
      <w:r>
        <w:t>Au vu de ce qui précède, on ne voit pas que l' art. 209 al. 2 et 3 RAVS aurait pu fonder, pour B.________ SA - donc pour le recourant -, une obligation de renseigner au sens de l' art. 88 al. 1 LAVS . Dans l'arrêt attaqué, la cour cantonale a évoqué les art. 63 al. 2 LAVS - selon lequel les caisses cantonales de compensation doivent veiller à l'affiliation de toutes les personnes tenues de payer des cotisations - et 64 al. 5 LAVS, selon lequel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On ne voit pas davantage en quoi l'une ou l'autre de ces dispositions aurait pu fonder, pour B.________ SA, une obligation de renseigner au sens de l' art. 88 al. 1 LAVS .</w:t>
      </w:r>
    </w:p>
    <w:p>
      <w:r>
        <w:t>Pour le reste, on ignore quelle disposition aurait pu fonder une obligation de renseigner au sens de cette dernière disposition, étant précisé que l'ordonnance pénale du 11 décembre 2017, tenant lieu d'acte d'accusation, ne contient aucune information à ce sujet.</w:t>
      </w:r>
    </w:p>
    <w:p>
      <w:r>
        <w:t>Partant, B.________ SA, qui n'était pas employeur - puisqu'il ne ressort pas de l'arrêt attaqué que celle-ci aurait jamais eu d'employé -, n'avait pas d'obligation de renseigner au sens de l' art. 88 al. 1 LAVS . Le recourant ne pouvait donc être condamné sur la base de cette disposition.</w:t>
      </w:r>
    </w:p>
    <w:p>
      <w:r>
        <w:t>Le recours doit être admis, l'arrêt attaqué annulé et la cause renvoyée à l'autorité cantonale afin que celle-ci libère le recourant du chef de prévention de contravention au sens de l' art. 88 al. 1 LAVS .</w:t>
      </w:r>
    </w:p>
    <w:p>
      <w:r>
        <w:rPr>
          <w:b/>
        </w:rPr>
        <w:t>E. 4</w:t>
      </w:r>
    </w:p>
    <w:p>
      <w:r>
        <w:t>Le recours doit être admis. Le recourant, qui obtient gain de cause, ne supporte pas de frais judiciaires ( art. 66 al. 1 LTF ) et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