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6B_376/2015 vom 18. Mai 2015</w:t>
      </w:r>
    </w:p>
    <w:p>
      <w:r>
        <w:t>Bundesgericht, 2015-05-18, FR</w:t>
      </w:r>
    </w:p>
    <w:p>
      <w:r>
        <w:rPr>
          <w:b/>
        </w:rPr>
        <w:t xml:space="preserve">Quelle: </w:t>
      </w:r>
      <w:r>
        <w:t>https://mcp.opencaselaw.ch/entscheid/bger_6B_376_2015</w:t>
      </w:r>
    </w:p>
    <w:p>
      <w:r>
        <w:t>FR: TF 6B_376/2015 du 18 mai 2015</w:t>
      </w:r>
    </w:p>
    <w:p>
      <w:r>
        <w:t>IT: TF 6B_376/2015 del 18 maggio 2015</w:t>
      </w:r>
    </w:p>
    <w:p>
      <w:pPr>
        <w:pStyle w:val="Heading2"/>
      </w:pPr>
      <w:r>
        <w:t>Erwägungen</w:t>
      </w:r>
    </w:p>
    <w:p>
      <w:r>
        <w:rPr>
          <w:b/>
        </w:rPr>
        <w:t>E. 1</w:t>
      </w:r>
    </w:p>
    <w:p>
      <w:r>
        <w:t>Par décision du 16 mars 2015, la Cour d'appel pénal du Tribunal cantonal fribourgeois a rejeté la demande de remise de frais formée par X.________ concernant les frais mis à sa charge par arrêt de cette même autorité du 4 décembre 2014 (360 fr.). La cour cantonale a, en substance, estimé que ces frais n'étaient pas disproportionnés et pouvaient être acquittés par X.________, qui devait toutefois, au vu de ses moyens financiers limités, bénéficier d'un aménagement des modalités de paiement (paiement par acomptes de 50 fr. mensuel).</w:t>
      </w:r>
    </w:p>
    <w:p>
      <w:r>
        <w:t>Par acte du 29 mars 2015, X.________ forme une « demande au Tribunal fédéral » tendant à la dispenser du paiement des frais litigieux.</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140 III 264 consid. 2.3 p. 266).</w:t>
      </w:r>
    </w:p>
    <w:p>
      <w:r>
        <w:t>En l'occurrence, X.________ se borne à invoquer différents frais qu'elle aurait dû engager pour sa formation. Elle ne démontre pas en quoi ces éléments auraient été arbitrairement omis par la cour cantonale qui a tenu compte de ses moyens financiers limités. Elle se limite de la sorte à opposer sa propre appréciation des faits à celle de l'autorité cantonale, sans démontrer en quoi celle-ci serait arbitraire. Purement appellatoire, son grief est irrecevable. En outre, elle ne démontre aucunement en quoi les considérations cantonales violeraient le droit et ne formule pas de conclusions formelles. Faute de satisfaire aux conditions de recevabilité d'un recours en matière pénale au Tribunal fédéral (art. 42 al. 1 et 2 et 106 al. 2 LTF), le recours doit être écarté en application de l' art. 108 al. 1 let. a et b LTF .</w:t>
      </w:r>
    </w:p>
    <w:p>
      <w:r>
        <w:rPr>
          <w:b/>
        </w:rPr>
        <w:t>E. 3</w:t>
      </w:r>
    </w:p>
    <w:p>
      <w:r>
        <w:t>Exceptionnellement, le présent arrêt peut être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