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6B_373/2023 vom 26. April 2023</w:t>
      </w:r>
    </w:p>
    <w:p>
      <w:r>
        <w:t>Bundesgericht, 2023-04-26, FR</w:t>
      </w:r>
    </w:p>
    <w:p>
      <w:r>
        <w:rPr>
          <w:b/>
        </w:rPr>
        <w:t xml:space="preserve">Quelle: </w:t>
      </w:r>
      <w:r>
        <w:t>https://mcp.opencaselaw.ch/entscheid/bger_6B_373_2023</w:t>
      </w:r>
    </w:p>
    <w:p>
      <w:r>
        <w:t>FR: TF 6B_373/2023 du 26 avril 2023</w:t>
      </w:r>
    </w:p>
    <w:p>
      <w:r>
        <w:t>IT: TF 6B_373/2023 del 26 aprile 2023</w:t>
      </w:r>
    </w:p>
    <w:p>
      <w:pPr>
        <w:pStyle w:val="Heading2"/>
      </w:pPr>
      <w:r>
        <w:t>Erwägungen</w:t>
      </w:r>
    </w:p>
    <w:p>
      <w:r>
        <w:rPr>
          <w:b/>
        </w:rPr>
        <w:t>E. 1</w:t>
      </w:r>
    </w:p>
    <w:p>
      <w:r>
        <w:t>Par arrêt du 14 février 2023, la Chambre pénale de recours de la Cour de justice de la République et canton de Genève a rejeté le recours formé par A.________ contre l'ordonnance du 12 décembre 2022 par laquelle le Ministère public genevois a refusé d'entrer en matière sur la plainte déposée par la prénommée le 27 janvier 2022 et son complément du 18 novembre 2022.</w:t>
      </w:r>
    </w:p>
    <w:p>
      <w:r>
        <w:t>En substance, la cour cantonale a estimé que les constatations effectuées par la police sur la porte palière de l'appartement de A.________, sur laquelle des déprédations auraient été prétendument commises par son voisinage, n'avaient pas permis de déterminer quand les dommages auraient été causés et par qui. Les autres déprédations, voire disparitions d'objets, dans son appartement n'étaient pas objectivées et, pour autant qu'elles soient avérées, rien ne permettrait d'en identifier le ou les auteurs, les soupçons portés par l'intéressée sur ses voisins n'étant pas suffisants. S'agissant des faits dénoncés que A.________ imputait aux habitants de son immeuble, force était de constater qu'ils n'étaient nullement rendus même vraisemblables, faute de tout indice probant, tels que constats médicaux, notamment en lien avec les violences physiques et sexuelles alléguées. Quant aux faits qui se seraient produits lorsque A.________ était enfant ou adolescente, ils n'avaient pas eu lieu à Genève ou en Suisse, ce qui rendait les autorités de poursuite pénale genevoises incompétentes pour en connaître, et seraient au demeurant prescrits, vu leur ancienneté.</w:t>
      </w:r>
    </w:p>
    <w:p>
      <w:r>
        <w:t>A.________ forme un recours au Tribunal fédéral contre l'arrêt précité. Elle conclut à l'annulation de celui-ci et au renvoi de la cause au ministère public pour ouverture d'une instruction.</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Si la partie plaignante invoque des infractions distinctes, elle doit mentionner par rapport à chacune d'elles en quoi consiste son dommage (arrêts 6B_176/2022 du 3 mars 2023 consid. 4; 6B_1177/2022 du 21 février 2023 consid. 1.2.1; 6B_1035/2022 du 12 janvier 2023 consid. 1.1).</w:t>
      </w:r>
    </w:p>
    <w:p>
      <w:r>
        <w:rPr>
          <w:b/>
        </w:rPr>
        <w:t>E. 2.2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En particulier, la motivation doit se rapporter à l'objet du litige tel qu'il est circonscrit par la décision litigieuse ( ATF 133 IV 119 consid. 6.4 p. 121).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146 IV 88 consid. 1.3.1 p. 91 s.; 143 IV 500 consid. 1.1 p. 503). Les critiques de nature appellatoire sont irrecevables ( ATF 146 IV 88 consid. 1.3.1 p. 91 s.; 145 IV 154 consid. 1.1 p. 155 s.).</w:t>
      </w:r>
    </w:p>
    <w:p>
      <w:r>
        <w:rPr>
          <w:b/>
        </w:rPr>
        <w:t>E. 2.3</w:t>
      </w:r>
    </w:p>
    <w:p>
      <w:r>
        <w:t>La recourante ne se détermine ni sur le principe, ni sur la quotité d'un éventuel tort moral ou dommage. Invoquant des infractions distinctes, elle n'indique pas, par rapport à chacune d'elles, en quoi consisterait le dommage ou le tort moral en résultant. L'absence d'explications sur la question des prétentions civiles exclut sa qualité pour recourir sur le fond de la cause s'agissant des infractions dont elle se plaint (à l'exception des infractions graves portant atteintes à l'intégrité physique et sexuelle), si bien que son recours est irrecevable sur ces points.</w:t>
      </w:r>
    </w:p>
    <w:p>
      <w:r>
        <w:t>S'agissant des prétendues atteintes à l'intégrité physique et sexuelle, la recourante ne discute pas les motifs qui ont conduit la cour cantonale à écarter, à la suite du ministère public, ces infractions. Tout au plus, la motivation présentée par la recourante consiste à rediscuter les faits de manière purement appellatoire. Elle ne présente ainsi aucun grief répondant aux exigences de motivation des art. 42 al. 2 et 106 al. 2 LTF.</w:t>
      </w:r>
    </w:p>
    <w:p>
      <w:r>
        <w:rPr>
          <w:b/>
        </w:rPr>
        <w:t>E. 2.4</w:t>
      </w:r>
    </w:p>
    <w:p>
      <w:r>
        <w:t>L'hypothèse visée à l'art. 81 al. 1 let. b ch. 6 LTF n'entre pas en considération, la recourante ne soulevant aucun grief quant à son droit de porter plainte.</w:t>
      </w:r>
    </w:p>
    <w:p>
      <w:r>
        <w:rPr>
          <w:b/>
        </w:rPr>
        <w:t>E. 2.5</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Tel n'est pas le cas en l'espèce.</w:t>
      </w:r>
    </w:p>
    <w:p>
      <w:r>
        <w:rPr>
          <w:b/>
        </w:rPr>
        <w:t>E. 3</w:t>
      </w:r>
    </w:p>
    <w:p>
      <w:r>
        <w:t>Faute de satisfaire aux conditions de recevabilité d'un recours en matière pénale au Tribunal fédéral (art. 42 al. 1 et 2 et 106 al. 2 LTF), le recours doit être écarté en application de l' art. 108 al. 1 let. a et b LTF . La recourante, qui succombe, supporte les frais judiciaires (cf.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