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6B_372/2021 vom 31. März 2021</w:t>
      </w:r>
    </w:p>
    <w:p>
      <w:r>
        <w:t>Bundesgericht, 2021-03-31, DE</w:t>
      </w:r>
    </w:p>
    <w:p>
      <w:r>
        <w:rPr>
          <w:b/>
        </w:rPr>
        <w:t xml:space="preserve">Quelle: </w:t>
      </w:r>
      <w:r>
        <w:t>https://mcp.opencaselaw.ch/entscheid/bger_6B_372_2021</w:t>
      </w:r>
    </w:p>
    <w:p>
      <w:r>
        <w:t>FR: TF 6B_372/2021 du 31 mars 2021</w:t>
      </w:r>
    </w:p>
    <w:p>
      <w:r>
        <w:t>IT: TF 6B_372/2021 del 31 marzo 2021</w:t>
      </w:r>
    </w:p>
    <w:p>
      <w:pPr>
        <w:pStyle w:val="Heading2"/>
      </w:pPr>
      <w:r>
        <w:t>Erwägungen</w:t>
      </w:r>
    </w:p>
    <w:p>
      <w:r>
        <w:rPr>
          <w:b/>
        </w:rPr>
        <w:t>E. 1</w:t>
      </w:r>
    </w:p>
    <w:p>
      <w:r>
        <w:t>Nach diversen Strafanzeigen erliess die Bundesanwaltschaft durch einen mit der Verfahrensführung beauftragten ausserordentlichen Staatsanwalt des Bundes am 12. Februar 2021 sechs separate Nichtanhandnahmeverfügungen. Die dagegen gerichteten Beschwerden wies die Beschwerdekammer des Bundesstrafgerichts mit sechs separaten Beschlüssen vom 18. März 2021 ab. Der Beschwerdeführer (6B_372/2021 und 6B_374-377/2021) und die Beschwerdeführerin (6B_373/2021) wenden sich mit Beschwerde an das Bundesgericht</w:t>
      </w:r>
    </w:p>
    <w:p>
      <w:r>
        <w:rPr>
          <w:b/>
        </w:rPr>
        <w:t>E. 2</w:t>
      </w:r>
    </w:p>
    <w:p>
      <w:r>
        <w:t>Die Verfahren 6B_372/2021, 6B_373/2021, 6B_374/2021, 6B_375/2021, 6B_376/2021 und 6B_377/2021 sind zu vereinigen und gemeinsam in einem einzigen Urteil zu erledigen (vgl. Art. 24 BZP i.V.m. Art. 71 BGG ).</w:t>
      </w:r>
    </w:p>
    <w:p>
      <w:r>
        <w:rPr>
          <w:b/>
        </w:rPr>
        <w:t>E. 3</w:t>
      </w:r>
    </w:p>
    <w:p>
      <w:r>
        <w:t>Mit hier nicht in Betracht fallenden Ausnahmen ist die Beschwerde ans Bundesgericht gegen Entscheide der Beschwerdekammer des Bundesstrafgerichts unzulässig ( Art. 79 BGG ). Die Beschwerdekammer des Bundesstrafgerichts wies den Beschwerdeführer und die Beschwerdeführerin in der Rechtsmittelbelehrung der jeweiligen Beschlüsse vom 18. März 2021 auf diese Rechtslage hin. Eine subsidiäre Verfassungsbeschwerde fällt vorliegend ebenfalls nicht in Betracht, da diese gemäss Art. 113 BGG einzig gegen Entscheide letzter kantonaler Instanzen gegeben ist. Auf die Beschwerden ist folglich im Verfahren nach Art. 108 BGG nicht einzutreten.</w:t>
      </w:r>
    </w:p>
    <w:p>
      <w:r>
        <w:t>Eine Weiterleitung der auch als "Aufsichtsbeschwerde" bezeichneten Eingaben des Beschwerdeführers und der Beschwerdeführerin an die Verwaltungskommission des Bundesgerichts erübrigt sich. Die Aufsicht des Bundesgerichts über das Bundesstrafgericht ist administrativer Art. Die Rechtsanwendung kann im Aufsichtsverfahren nicht überprüft werden ( Art. 2 Abs. 2 AufRBGer ).</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