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6B_372/2020 vom 4. Mai 2020</w:t>
      </w:r>
    </w:p>
    <w:p>
      <w:r>
        <w:t>Bundesgericht, 2020-05-04, DE</w:t>
      </w:r>
    </w:p>
    <w:p>
      <w:r>
        <w:rPr>
          <w:b/>
        </w:rPr>
        <w:t xml:space="preserve">Quelle: </w:t>
      </w:r>
      <w:r>
        <w:t>https://mcp.opencaselaw.ch/entscheid/bger_6B_372_2020</w:t>
      </w:r>
    </w:p>
    <w:p>
      <w:r>
        <w:t>FR: TF 6B_372/2020 du 4 mai 2020</w:t>
      </w:r>
    </w:p>
    <w:p>
      <w:r>
        <w:t>IT: TF 6B_372/2020 del 4 maggio 2020</w:t>
      </w:r>
    </w:p>
    <w:p>
      <w:pPr>
        <w:pStyle w:val="Heading2"/>
      </w:pPr>
      <w:r>
        <w:t>Erwägungen</w:t>
      </w:r>
    </w:p>
    <w:p>
      <w:r>
        <w:rPr>
          <w:b/>
        </w:rPr>
        <w:t>E. 1</w:t>
      </w:r>
    </w:p>
    <w:p>
      <w:r>
        <w:t>Nach Strafanzeigen des Beschwerdeführers gegen seinen Bruder und Unbekannt wegen Veruntreuung nahm die Staatsanwaltschaft des Kantons Solothurn eine Strafuntersuchung am 12. November 2019 nicht an die Hand. Das Obergericht des Kantons Solothurn wies eine dagegen gerichtete Beschwerde mit Beschluss vom 19. Februar 2020 ab. Es bestünden keine Anhaltspunkte für einen Tatverdacht, der eine Strafuntersuchung rechtfertigen würde.</w:t>
      </w:r>
    </w:p>
    <w:p>
      <w:r>
        <w:t>Der Beschwerdeführer wendet sich mit Beschwerde an das Bundesgericht.</w:t>
      </w:r>
    </w:p>
    <w:p>
      <w:r>
        <w:rPr>
          <w:b/>
        </w:rPr>
        <w:t>E. 2</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t>In einer Beschwerde an das Bundesgericht ist unter Bezugnahme auf den angefochtenen Entscheid darzulegen, inwieweit dieser nach Meinung der beschwerdeführenden Partei gegen das Recht verstossen soll ( Art. 42 Abs. 2 BGG ).</w:t>
      </w:r>
    </w:p>
    <w:p>
      <w:r>
        <w:rPr>
          <w:b/>
        </w:rPr>
        <w:t>E. 3</w:t>
      </w:r>
    </w:p>
    <w:p>
      <w:r>
        <w:t>Diesen Anforderungen genügt die Beschwerde nicht. Der Beschwerdeführer äussert sich in seiner Eingabe nicht zur Beschwerdelegitimation und zur Frage der Zivilforderung. Er benennt keinerlei konkrete Forderung und zeigt auch nicht auf, aus welchen Gründen sich der angefochtene Beschluss inwiefern auf welche Zivilforderungen auswirken könnte. Aufgrund der von ihm erhobenen Vorwürfe ist dies auch nicht ohne Weiteres ersichtlich. Zudem setzt sich der Beschwerdeführer auch nicht substanziiert mit den vorinstanzlichen Erwägungen auseinander, sondern beschränkt sich im Wesentlichen darauf, seine Sicht der Dinge zu schildern und die im kantonalen Verfahren vorgetragenen Sach- und Rechtsstandpunkte zu erneuern. Aus seiner Beschwerde ergibt sich mithin nicht, inwiefern die Vorinstanz mit ihrem Beschluss gegen das geltende Recht im Sinne von Art. 95 BGG verstossen haben könnte. Der Begründungsmangel ist offensichtlich. Auf die Beschwerde ist im Verfahren nach Art. 108 BGG nicht einzutreten.</w:t>
      </w:r>
    </w:p>
    <w:p>
      <w:r>
        <w:rPr>
          <w:b/>
        </w:rPr>
        <w:t>E. 4</w:t>
      </w:r>
    </w:p>
    <w:p>
      <w:r>
        <w:t>Das sinngemässe Gesuch um unentgeltliche Rechtspflege ist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