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36/2017 vom 7. März 2017</w:t>
      </w:r>
    </w:p>
    <w:p>
      <w:r>
        <w:t>Bundesgericht, 2017-03-07, DE</w:t>
      </w:r>
    </w:p>
    <w:p>
      <w:r>
        <w:rPr>
          <w:b/>
        </w:rPr>
        <w:t xml:space="preserve">Quelle: </w:t>
      </w:r>
      <w:r>
        <w:t>https://mcp.opencaselaw.ch/entscheid/bger_6B_36_2017</w:t>
      </w:r>
    </w:p>
    <w:p>
      <w:r>
        <w:t>FR: TF 6B 36/2017 du 7 mars 2017</w:t>
      </w:r>
    </w:p>
    <w:p>
      <w:r>
        <w:t>IT: TF 6B 36/2017 del 7 marzo 2017</w:t>
      </w:r>
    </w:p>
    <w:p>
      <w:pPr>
        <w:pStyle w:val="Heading2"/>
      </w:pPr>
      <w:r>
        <w:t>Regeste</w:t>
      </w:r>
    </w:p>
    <w:p>
      <w:r>
        <w:t>Verletzung von Verkehrsregeln, Nötigung, Willkür | Straftaten</w:t>
      </w:r>
    </w:p>
    <w:p>
      <w:pPr>
        <w:pStyle w:val="Heading2"/>
      </w:pPr>
      <w:r>
        <w:t>Erwägungen</w:t>
      </w:r>
    </w:p>
    <w:p>
      <w:r>
        <w:rPr>
          <w:b/>
        </w:rPr>
        <w:t>E. 1</w:t>
      </w:r>
    </w:p>
    <w:p>
      <w:r>
        <w:t>Das Obergericht des Kantons Nidwalden wies am 23. August 2016 die Berufung von X.________ ab und "bestätigte" die Verurteilung des Kantonsgerichts Nidwalden wegen mehrfacher Nötigung, mehrfacher vorsätzlicher Verkehrsregelverletzung und einfacher Verkehrsregelverletzung zu einer Geldstrafe von 30 Tagessätzen zu Fr. 120.- sowie einer Busse von Fr. 900.-. X.________ erhebt Beschwerde ans Bundesgericht und beantragt die Neubeurteilung des Falles, da keine böse Absicht seinerseits vorgelegen habe. Er wirft den kantonalen Behörden eine "unrichtige Feststellung des Sachverhalts", "Verzögerungstaktik", "Missbrauch des Ermessens" und "Unangemessenheit" vor.</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den gesetzlichen Begründungsanforderungen nicht. Der Beschwerdeführer setzt sich mit den vorinstanzlichen Erwägungen nicht auseinander. Seine Kritik richtet sich überwiegend gegen die "langsame" Verfahrensführung der Staatsanwaltschaft und den Entscheid des Bezirksgerichts, die nicht Gegenstand des vorliegenden Verfahrens sind. Inwieweit die knapp viermonatige Dauer für die schriftliche Begründung des Berufungsurteils sich auf die Sachverhaltsfeststellungen und rechtliche Begründung ausgewirkt und für den Ausgang des Verfahrens entscheidend gewesen sein soll, legt der Beschwerdeführer nicht dar und ist auch nicht ersichtlich.</w:t>
      </w:r>
    </w:p>
    <w:p>
      <w:r>
        <w:rPr>
          <w:b/>
        </w:rPr>
        <w:t>E. 4</w:t>
      </w:r>
    </w:p>
    <w:p>
      <w:r>
        <w:t>Auf die Beschwerde ist im Verfahren nach Art. 108 BGG nicht einzutreten.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