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36/2016 vom 15. Februar 2016</w:t>
      </w:r>
    </w:p>
    <w:p>
      <w:r>
        <w:t>Bundesgericht, 2016-02-15, DE</w:t>
      </w:r>
    </w:p>
    <w:p>
      <w:r>
        <w:rPr>
          <w:b/>
        </w:rPr>
        <w:t xml:space="preserve">Quelle: </w:t>
      </w:r>
      <w:r>
        <w:t>https://mcp.opencaselaw.ch/entscheid/bger_6B_36_2016</w:t>
      </w:r>
    </w:p>
    <w:p>
      <w:r>
        <w:t>FR: TF 6B 36/2016 du 15 février 2016</w:t>
      </w:r>
    </w:p>
    <w:p>
      <w:r>
        <w:t>IT: TF 6B 36/2016 del 15 febbraio 2016</w:t>
      </w:r>
    </w:p>
    <w:p>
      <w:pPr>
        <w:pStyle w:val="Heading2"/>
      </w:pPr>
      <w:r>
        <w:t>Regeste</w:t>
      </w:r>
    </w:p>
    <w:p>
      <w:r>
        <w:t>Nichtanhandnahme (Betrug, Urkundenfälschung etc.) | Strafprozess</w:t>
      </w:r>
    </w:p>
    <w:p>
      <w:pPr>
        <w:pStyle w:val="Heading2"/>
      </w:pPr>
      <w:r>
        <w:t>Erwägungen</w:t>
      </w:r>
    </w:p>
    <w:p>
      <w:r>
        <w:rPr>
          <w:b/>
        </w:rPr>
        <w:t>E. 1</w:t>
      </w:r>
    </w:p>
    <w:p>
      <w:r>
        <w:t>Am 4. Oktober 2015 erstattete der Beschwerdeführer bei der Staatsanwaltschaft Zürich-Limmat Strafanzeige gegen mehrere Personen wegen verschiedener Straftaten. Am 3. November 2015 nahm die zuständige Staatsanwaltschaft des Kantons Freiburg die Sache nicht an die Hand. Auf die dagegen gerichtete Beschwerde trat das Kantonsgericht Freiburg am 2. Dezember 2015 nicht ein. Der Beschwerdeführer wendet sich ans Bundesgericht und beantragt, der Entscheid des Kantonsgerichts vom 2. Dezember 2015 sei aufzuheben.</w:t>
      </w:r>
    </w:p>
    <w:p>
      <w:r>
        <w:rPr>
          <w:b/>
        </w:rPr>
        <w:t>E. 2</w:t>
      </w:r>
    </w:p>
    <w:p>
      <w:r>
        <w:t>Die Staatsanwaltschaft hatte erwogen, der vom Beschwerdeführer dargestellte Sachverhalt sei unverständlich und es sei unmöglich auszumachen, woraus sich der Verdacht einer Strafbarkeit ergeben könnte (Urteil S. 2 E. 2). Die Vorinstanz verweist auf diese Feststellung und führt aus, der Beschwerdeführer setze sich damit nicht auseinander, sondern beschränke sich darauf, seine Sicht der Dinge erneut pauschalisiert und ohne konkrete personelle, zeitliche und sachliche Angaben zu schildern (Urteil S. 3 lit. b). Vor Bundesgericht müsste der Beschwerdeführer dartun, an welchen Stellen seiner kantonalen Eingaben er im Gegensatz zu den Feststellungen von Staatsanwaltschaft und Kantonsgericht hinreichend konkrete Ausführungen machte, denen konkret zu entnehmen war, wer sich inwieweit seiner Meinung nach strafbar gemacht haben soll. Solche Ausführungen finden sich in der weitgehend wirren und kaum verständlichen Eingabe des Beschwerdeführers vor Bundesgericht nicht. Darauf ist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