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36/2012 vom 17. August 2012</w:t>
      </w:r>
    </w:p>
    <w:p>
      <w:r>
        <w:t>Bundesgericht, 2012-08-17, FR</w:t>
      </w:r>
    </w:p>
    <w:p>
      <w:r>
        <w:rPr>
          <w:b/>
        </w:rPr>
        <w:t xml:space="preserve">Quelle: </w:t>
      </w:r>
      <w:r>
        <w:t>https://mcp.opencaselaw.ch/entscheid/bger_6B_36_2012</w:t>
      </w:r>
    </w:p>
    <w:p>
      <w:r>
        <w:t>FR: TF 6B 36/2012 du 17 août 2012</w:t>
      </w:r>
    </w:p>
    <w:p>
      <w:r>
        <w:t>IT: TF 6B 36/2012 del 17 agosto 2012</w:t>
      </w:r>
    </w:p>
    <w:p>
      <w:pPr>
        <w:pStyle w:val="Heading2"/>
      </w:pPr>
      <w:r>
        <w:t>Regeste</w:t>
      </w:r>
    </w:p>
    <w:p>
      <w:r>
        <w:t>Arbitraire, liberté personnelle, etc. (mendicité [art. 11A de la loi pénale genevoise]) | Procédure pénale</w:t>
      </w:r>
    </w:p>
    <w:p>
      <w:pPr>
        <w:pStyle w:val="Heading2"/>
      </w:pPr>
      <w:r>
        <w:t>Erwägungen</w:t>
      </w:r>
    </w:p>
    <w:p>
      <w:r>
        <w:rPr>
          <w:b/>
        </w:rPr>
        <w:t>E. 1</w:t>
      </w:r>
    </w:p>
    <w:p>
      <w:r>
        <w:t>La recourante a été condamnée en application de l'art. 11A (mendicité) al. 1 de la Loi pénale genevoise du 17 novembre 2006 (LPG; RS/GE E 4 05), qui dispose que celui qui aura mendié sera puni de l'amende.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soulevé et motivé par le recourant ( art. 106 al. 2 LTF ; ATF 137 IV 1 consid. 4.2.3; 136 I 65 consid. 1.3.1). Cela suppose une argumentation claire et détaillée ( ATF 133 II 396 consid. 3.2 p. 400). En tant qu'elle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La recourante invoque tout d'abord une irrégularité dans sa convocation à l'audience de jugement. Selon un principe général, qui serait concrétisé par les art. 56 LP , 49 DPA et " 215 CPP ", la notification d'actes judiciaires ne devrait pas s'effectuer en temps prohibé, soit de nuit. Aucune disposition de droit cantonal ne prévoirait la notification par voie policière. Ce procédé serait illégal et, de surcroît, discriminatoire, en tant qu'il toucherait exclusivement les personnes d'origine rom.</w:t>
      </w:r>
    </w:p>
    <w:p>
      <w:r>
        <w:rPr>
          <w:b/>
        </w:rPr>
        <w:t>E. 2.1</w:t>
      </w:r>
    </w:p>
    <w:p>
      <w:r>
        <w:t>L'arrêt entrepris indique que l' art. 220 al. 3 CPP /GE permet la notification de la citation à comparaître par un agent de la force publique. La cour cantonale s'est également référée, sur ce point, à sa jurisprudence, selon laquelle la notification par la police ne serait pas entachée de nullité (arrêt entrepris, consid. 2.1 p. 7). Faute de discuter précisément les considérants de la cour cantonale, en particulier sous l'angle de l'arbitraire, l'argumentation de la recourante n'est pas topique. Le grief est insuffisamment motivé au regard des exigences de l' art. 106 al. 2 LTF . On peut ajouter, dans ce contexte, que l'art. 85 al. 2 du Code de procédure pénale suisse du 5 octobre 2007 (CPP; RS 312.0) n'exclut pas non plus le recours à la police pour les notifications, notamment celles impliquant un accusé de réception ( art. 85 al. 2 CPP ). Il s'ensuit que ce mode de communication n'apparaît pas non plus contraire au droit fédéral, ce qui permet aussi d'exclure l'existence d'un principe général contraire.</w:t>
      </w:r>
    </w:p>
    <w:p>
      <w:r>
        <w:rPr>
          <w:b/>
        </w:rPr>
        <w:t>E. 2.2</w:t>
      </w:r>
    </w:p>
    <w:p>
      <w:r>
        <w:t>En droit pénal administratif, les procédures judiciaires sont, sous réserve des exceptions prévues par la loi, régies par le droit de procédure du tribunal compétent (ancien art. 82 DPA dans sa teneur en vigueur jusqu'au 31 décembre 2010: droit cantonal ou dispositions de la Loi fédérale du 15 juin 1934 sur la procédure pénale; art. 82 DPA dans sa teneur en vigueur depuis le 1er janvier 2011: dispositions pertinentes du CPP). Ce renvoi général porte ainsi, notamment, sur les règles de communication des citations à comparaître, sous réserve de l' art. 75 al. 3 DPA , qui prévoit, sans autre précision, que la date des débats doit être communiquée aux parties en temps utile. Il s'ensuit que l'on ne peut déduire de l' art. 49 DPA , disposition spéciale qui a trait à l'exécution des perquisitions en cours d'enquête, un principe général interdisant toute communication durant des temps prohibés. En relation avec l'art. " 215 CPP " cité, sans autre précision, par la recourante, on peut se limiter à relever que l' art. 215 CPP a trait à l'appréhension et ne délimite aucun temps prohibé, cependant que l'ancien art. 215 CPP /GE a été abrogé avec effet au 13 février 2007, de sorte qu'un principe général applicable en l'espèce ne peut être déduit ni de l'une ni de l'autre norme. Quant aux temps prohibés, entre 20 heures et 7 heures, par l' art. 56 ch. 1 LP , ils visent à protéger la vie privée et la sphère privée, délimitées par rapport à la vie des affaires (PIERRE-ROBERT GILLIÉRON, Commentaire de la Loi fédérale sur la poursuite pour dettes et la faillite, tome I, 1999, art. 56 LP , n. 24), respectivement à épargner, durant certaines périodes, au poursuivi la pression de ses créanciers et à lui accorder un temps de répit ( ATF 121 III 88 consid. 6c/aa p. 92; 120 III 9 consid. 1 p. 10; THOMAS BAUER, in Staehelin, Bauer, Staehelin, Bundesgesetz über Schuldbetreibung und Konkurs, tome I, 2e éd. 2010, art. 56 LP , n. 2). Ces considérations n'apparaissent pas comme prioritaires en procédure pénale. On ne saurait, par conséquent, déduire de cette règle de la LP un principe général valable en procédure pénale également. Pour le surplus, la recourante ne tente pas de démontrer que la notification litigieuse l'aurait empêchée d'exercer ses droits de la défense. Elle n'invoque non plus ni l' art. 13 Cst. , ni, à ce propos, l' art. 8 CEDH . Il n'y a pas lieu d'examiner la cause sous ces différents angles ( art. 106 al. 2 LTF ). On peut, au demeurant, observer que la recourante, qui a quitté la Roumanie pour se rendre à Genève, ne démontre pas qu'elle aurait été atteignable en un lieu fixe à Genève, ni même qu'elle aurait encore un domicile en Roumanie. De plus, la recourante ne critiquant que la convocation à l'une des trois audiences de jugement, il n'apparaît pas que ce procédé aurait été utilisé de manière systématique, ce qui ne plaide pas non plus en faveur d'une mesure discriminatoire. Dans ces conditions, l'intérêt de l'administration de la justice à l'atteindre, respectivement le propre intérêt de la recourante à pouvoir être présente à l'audience de jugement, l'emportent sur son seul intérêt à ne pas être dérangée à 21h40.</w:t>
      </w:r>
    </w:p>
    <w:p>
      <w:r>
        <w:rPr>
          <w:b/>
        </w:rPr>
        <w:t>E. 3</w:t>
      </w:r>
    </w:p>
    <w:p>
      <w:r>
        <w:t>La recourante invoque ensuite la violation des art. 6 et 27 du Deuxième Protocole additionnel, du 8 novembre 2001, à la Convention européenne d'entraide judiciaire en matière pénale (RS 0.351.12). Elle reproche à la cour cantonale d'avoir considéré que le Service des contraventions de l'Etat de Genève était habilité à lui notifier les contraventions à son domicile en Roumanie par voie postale.</w:t>
      </w:r>
    </w:p>
    <w:p>
      <w:r>
        <w:rPr>
          <w:b/>
        </w:rPr>
        <w:t>E. 3.1</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3.4 p. 630 ss). En l'espèce, le recours n'a cependant pas pour objet le contrôle de la validité formelle des décisions émises par le service compétent de l'Etat de Genève, mais la décision judiciaire pénale portant condamnation de la recourante. L'argumentation de cette dernière ne démontre pas en quoi la nullité de la notification des contraventions qui lui ont été adressées affecterait sa condamnation judiciaire. A cet égard, il convient de relever que la contestation formée par la recourante aux contraventions précitées a eu pour effet de transmettre le dossier au Procureur général ( art. 214 CPP /GE), qui a renvoyé la recourante devant le Tribunal de police, par différentes feuilles d'envoi. On comprend ainsi que le Tribunal de police est intervenu comme autorité de première instance, appelée à juger les faits, et non en qualité d'autorité de contrôle des contraventions prononcées par le service cantonal compétent. La recourante, nonobstant le vice invoqué, a été en mesure de contester les contraventions en question et d'obtenir que les faits, qu'elle ne conteste pas, soient examinés contradictoirement par une autorité judiciaire. Par ailleurs, si les décisions initiales contestées constituaient la feuille d'envoi devant l'autorité de première instance, soit l'acte d'accusation, la recourante ne tente pas de démontrer que le mode de notification critiqué l'aurait privée des droits de défense découlant du principe de l'accusation. Ainsi articulé, le grief est insuffisamment motivé. Il est irrecevable.</w:t>
      </w:r>
    </w:p>
    <w:p>
      <w:r>
        <w:rPr>
          <w:b/>
        </w:rPr>
        <w:t>E. 3.2</w:t>
      </w:r>
    </w:p>
    <w:p>
      <w:r>
        <w:t>Au demeurant, ce grief est infondé.</w:t>
      </w:r>
    </w:p>
    <w:p>
      <w:r>
        <w:rPr>
          <w:b/>
        </w:rPr>
        <w:t>E. 3.2.1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3.2.2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Elle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3.2.3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3.2.4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3.2.5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3.2.6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3.1.1 p. 7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4</w:t>
      </w:r>
    </w:p>
    <w:p>
      <w:r>
        <w:t>La recourante invoque ensuite la violation des art. 14 CEDH , 8 al. 2 Cst. et 2 EIMP en relation avec l'art. 1A LPG. En bref, elle affirme que, dans la pratique, seuls les Roms seraient visés par les amendes prononcées en application de l'art. 11A LPG, cependant que les autres populations mendiant à Genève seraient épargnées, de sorte que l'application de la norme défavoriserait considérablement la population rom de passage à Genève. Elle reproche aux autorités cantonales de n'avoir pas vérifié cette allégation et d'avoir écarté son argumentation sans exposer de motifs.</w:t>
      </w:r>
    </w:p>
    <w:p>
      <w:r>
        <w:rPr>
          <w:b/>
        </w:rPr>
        <w:t>E. 4.1</w:t>
      </w:r>
    </w:p>
    <w:p>
      <w:r>
        <w:t>La recourante n'expose pas le contenu de l'art. 1A LPG ni en quoi cette règle, désormais abrogée, aurait été appliquée de manière arbitraire ou en violation de ses droits fondamentaux. Il n'y a pas lieu d'examiner plus avant ce point ( art. 106 al. 2 LTF ). L' art. 2 EIMP a trait à l'entraide en Suisse, en relation avec une procédure pénale à l'étranger. La recourante, qui a été jugée en Suisse pour les faits qu'elle y a commis, ne peut rien déduire en sa faveur de cette norme. En tant que ses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se confond avec celui fondé sur l'allégation d'une discrimination de la recourante en tant que membre de la communauté rom (voir infra consid. 4.2). Enfin, la garantie de l' art. 14 CEDH n'a pas de portée indépendante par rapport aux autres droits et libertés sanctionnés par cette convention, respectivement par rapport à l' art. 8 Cst. ( ATF 123 II 472 consid. 4c p. 477; arrêt 5A_881/2010 du 13 mai 2011, consid. 4). On peut, dès lors, se limiter à examiner les griefs que la recourante déduit de l'application de cette dernière règle ainsi que de l' art. 14 CEDH en corrélation avec les art. 8 CEDH , 7, 10 et 36 al. 3 Cst.</w:t>
      </w:r>
    </w:p>
    <w:p>
      <w:r>
        <w:rPr>
          <w:b/>
        </w:rPr>
        <w:t>E. 4.2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138 X xxx,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w:t>
      </w:r>
    </w:p>
    <w:p>
      <w:r>
        <w:rPr>
          <w:b/>
        </w:rPr>
        <w:t>E. 4.3</w:t>
      </w:r>
    </w:p>
    <w:p>
      <w:r>
        <w:t>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si un requérant a établi l'existence d'une différence de traitement, c'est au Gouvernement qu'il incombe de démontrer qu'elle était justifiée (Arrêt CEDH du 13 novembre 2007, D.H. et autres c. République Tchèque, Requête No 57325/00, § 177, et les références citées).</w:t>
      </w:r>
    </w:p>
    <w:p>
      <w:r>
        <w:rPr>
          <w:b/>
        </w:rPr>
        <w:t>E. 4.4</w:t>
      </w:r>
    </w:p>
    <w:p>
      <w:r>
        <w:t>En l'espèce, la norme cantonale sur laquelle est fondée la condamnation de la recourante ne comporte aucune référence expresse à un caractère discriminatoire. Seule entre en considération une discrimination indirecte. La recourante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la condamnation à des amendes de nombreux membres de la communauté rom à Genève, alléguée par la recourante, suppose que les intéressés y ont exercé cette activité, la seule importance du nombre des condamnations en cause ne rend pas encore vraisemblable une discrimination indirecte. Faute de tout élément concret, la seule affirmation par la recourante d'une impunité d'autres mendiants, non roms, ne rend, par ailleurs, pas encore vraisemblable l'existence d'une telle immunité, moins encore qu'elle procéderait d'une discrimination à son endroit. On ne saurait, dès lors, reprocher à la cour cantonale de n'avoir pas instruit plus avant cette question. Le grief est infondé.</w:t>
      </w:r>
    </w:p>
    <w:p>
      <w:r>
        <w:rPr>
          <w:b/>
        </w:rPr>
        <w:t>E. 5</w:t>
      </w:r>
    </w:p>
    <w:p>
      <w:r>
        <w:t>Se référant aux art. 7, 10 et 36 al. 3 Cst. ainsi qu'à l' art. 8 CEDH , la recourante invoque ensuite une restriction injustifiée à sa liberté personnelle et une atteinte à sa dignité humaine. Elle reproche, en particulier, à la cour cantonale de n'avoir pas procédé à un contrôle concret de la constitutionnalité de l'art. 11A LPG.</w:t>
      </w:r>
    </w:p>
    <w:p>
      <w:r>
        <w:rPr>
          <w:b/>
        </w:rPr>
        <w:t>E. 5.1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5.2</w:t>
      </w:r>
    </w:p>
    <w:p>
      <w:r>
        <w:t>Dans l' ATF 134 I 214 , le Tribunal fédéral a examiné de manière détaillée la conformité abstraite de la réglementation genevoise aux garanties précitées. Dans la mesure où la recourante invoque son extrême pauvreté, qui la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La recourante se borne, sur ce point, à alléguer qu'elle ne pourrait bénéficier de ces aides faute de résider dans le canton de Genève. Cette affirmation n'est pas démontrée. La recourante n'établit pas, en particulier, avoir introduit une demande d'aide sociale individuelle, moins encore qu'une telle aide lui a été refusée. Elle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6</w:t>
      </w:r>
    </w:p>
    <w:p>
      <w:r>
        <w:t>La recourante soutient encore, en se référant à l' art. 14 CEDH , que l'infraction de mendicité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 recourante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résultant de l'application de la norme genevoise aux seuls membres de la communauté rom.</w:t>
      </w:r>
    </w:p>
    <w:p>
      <w:r>
        <w:rPr>
          <w:b/>
        </w:rPr>
        <w:t>E. 6.1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(cf.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(voir ATF 133 IV 286 consid. 1.4 p. 287).</w:t>
      </w:r>
    </w:p>
    <w:p>
      <w:r>
        <w:rPr>
          <w:b/>
        </w:rPr>
        <w:t>E. 6.2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objectives (« par cupidité ou fainéantise »), ne change rien à l'interprétation de la règle cantonale genevoise. Il est par ailleurs constant que la recourante, qui justifie ses actes par sa grande pauvreté, mendiait en tendant un gobelet aux passants (arrêt entrepris, consid. B. a.b p. 3), en d'autres termes, qu'elle demandait l'aumône (arrêt entrepris, consid. 4.2 p. 11). Il s'ensuit que le comportement de la recourante correspond au sens le plus clair et le plus littéral de la norme. Cela exclut déjà l'arbitraire. Il n'est, dès lors, pas nécessaire de rechercher si d'autres comportements sont également visés par la règle de droit. Le grief est infondé.</w:t>
      </w:r>
    </w:p>
    <w:p>
      <w:r>
        <w:rPr>
          <w:b/>
        </w:rPr>
        <w:t>E. 7</w:t>
      </w:r>
    </w:p>
    <w:p>
      <w:r>
        <w:t>La recourante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7.1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Selon la jurisprudence rendue en application de cette règle,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7.2</w:t>
      </w:r>
    </w:p>
    <w:p>
      <w:r>
        <w:t>La cour cantonale a jugé que s'il n'était pas contestable que l'appelante vivait dans un état d'impécuniosité, sa pauvreté ne constituait toutefois pas un motif justifiant la commission des infractions qui lui sont reprochées. Il n'apparaissait donc pas qu'elle dût se préserver d'un danger imminent et impossible à détourner autrement qu'en pratiquant la mendicité (arrêt entrepris, consid. 4.2 p. 12). En tant qu'elle affirme qu'il ne serait pas contesté qu'elle serait contrainte de demander l'aumône pour survivre et que ce serait sa seule source de subsistance, pour elle et pour sa famille, la recourante s'écarte de manière inadmissible des constatations de fait de la décision entreprise, qui ne retient rien de tel ( art. 105 al. 1 LTF ). On renvoie, au-demeurant à ce qui a été exposé ci-dessus au consid. 5.2. Pour le surplus, l'interprétation de la cour cantonale, inspirée de la jurisprudence rendue en application de la norme de droit fédéral, n'apparaît pas insoutenable, ce qui exclut le reproche d'arbitraire. Le grief est infondé.</w:t>
      </w:r>
    </w:p>
    <w:p>
      <w:r>
        <w:rPr>
          <w:b/>
        </w:rPr>
        <w:t>E. 8</w:t>
      </w:r>
    </w:p>
    <w:p>
      <w:r>
        <w:t>La recourante soutient encore qu'elle aurait dû être exemptée de toute peine en application de l' art. 52 CP . Elle relève le caractère minime de l'infraction qui lui a été reprochée quant à son résultat et que la misère noire dans laquelle il vit ne lui laisse aucune autre solution que la mendicité pour survivre.</w:t>
      </w:r>
    </w:p>
    <w:p>
      <w:r>
        <w:rPr>
          <w:b/>
        </w:rPr>
        <w:t>E. 8.1</w:t>
      </w:r>
    </w:p>
    <w:p>
      <w:r>
        <w:t>On renvoie sur la recevabilité de ce grief et le pouvoir d'examen de la cour de céans à ce qui a été exposé ci-dessus (consid. 1).</w:t>
      </w:r>
    </w:p>
    <w:p>
      <w:r>
        <w:rPr>
          <w:b/>
        </w:rPr>
        <w:t>E. 8.2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Selon la jurisprudence rendue en application du droit fédéral,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la recourante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de la recourante, des hypothèses réprimées par la norme pénale genevoise. Tel qu'il est articulé, le grief ne démontre pas l'existence d'une discrimination.</w:t>
      </w:r>
    </w:p>
    <w:p>
      <w:r>
        <w:rPr>
          <w:b/>
        </w:rPr>
        <w:t>E. 9</w:t>
      </w:r>
    </w:p>
    <w:p>
      <w:r>
        <w:t>La recourante succombe. Son recours était d'emblée dénué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