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6B_36/2010 vom 4. März 2010</w:t>
      </w:r>
    </w:p>
    <w:p>
      <w:r>
        <w:t>Bundesgericht, 2010-03-04, DE</w:t>
      </w:r>
    </w:p>
    <w:p>
      <w:r>
        <w:rPr>
          <w:b/>
        </w:rPr>
        <w:t xml:space="preserve">Quelle: </w:t>
      </w:r>
      <w:r>
        <w:t>https://mcp.opencaselaw.ch/entscheid/bger_6B_36_2010</w:t>
      </w:r>
    </w:p>
    <w:p>
      <w:r>
        <w:t>FR: TF 6B_36/2010 du 4 mars 2010</w:t>
      </w:r>
    </w:p>
    <w:p>
      <w:r>
        <w:t>IT: TF 6B_36/2010 del 4 marzo 2010</w:t>
      </w:r>
    </w:p>
    <w:p>
      <w:pPr>
        <w:pStyle w:val="Heading2"/>
      </w:pPr>
      <w:r>
        <w:t>Erwägungen</w:t>
      </w:r>
    </w:p>
    <w:p>
      <w:r>
        <w:rPr>
          <w:b/>
        </w:rPr>
        <w:t>E. 1</w:t>
      </w:r>
    </w:p>
    <w:p>
      <w:r>
        <w:t>Das Bundesgericht prüft die Verletzung von Grundrechten und von kantonalem Recht nur insofern, als eine solche Rüge in der Beschwerde vorgebracht und begründet worden ist ( Art. 106 Abs. 2 BGG ).</w:t>
      </w:r>
    </w:p>
    <w:p>
      <w:r>
        <w:rPr>
          <w:b/>
        </w:rPr>
        <w:t>E. 2</w:t>
      </w:r>
    </w:p>
    <w:p>
      <w:r>
        <w:t>Der Beschwerdeführer bringt vor, die Massnahme sei am 7. September 2009 gestützt auf Art. 19 JStG aufgehoben worden. Weder könnten diese rechtskräftige Verfügung wieder aufgehoben noch mit Verfügung vom 16. November 2009 die Rückversetzung in den Massnahmevollzug angeordnet werden.</w:t>
      </w:r>
    </w:p>
    <w:p>
      <w:r>
        <w:rPr>
          <w:b/>
        </w:rPr>
        <w:t>E. 3</w:t>
      </w:r>
    </w:p>
    <w:p>
      <w:r>
        <w:t>Bei der jährlichen Prüfung gemäss Art. 19 JStG wird die Massnahme aufgehoben, wenn ihr Zweck erreicht ist oder feststeht, dass sie keine erzieherischen oder therapeutischen Wirkungen mehr entfaltet.</w:t>
      </w:r>
    </w:p>
    <w:p>
      <w:r>
        <w:t>Die Jugendanwaltschaft stützte sich in ihrer Verfügung vom 7. September 2009 sinngemäss auf Art. 19 JStG (oben E. B). Sie nahm an, dem Beschwerdeführer werde im Rahmen der Strafuntersuchung bzw. des Strafverfahrens für längere Zeit die Freiheit entzogen, und allfällige Massnahmen würden nach dem Erwachsenenstrafrecht angeordnet werden. Infolge der Entlassung aus der Untersuchungshaft widerrief sie diese Verfügung am 16. November 2009 von Amtes wegen und ordnete zutreffend die Weiterführung der Massnahme an. Denn es war weder ihr Zweck erreicht noch stand fest, dass sie keine erzieherischen oder therapeutischen Wirkungen mehr entfalten würde. Im Gegenteil erweist sich die Massnahme einerseits weiterhin als notwendig und wurde andererseits der Massnahmeverlauf positiv beurteilt. Die Massnahmebedürftigkeit besteht fort. Mit der Entlassungsverfügung wurde denn auch keineswegs angestrebt, den Beschwerdeführer in die Freiheit zu entlassen. Vielmehr wurde sie unter dem Eindruck der Untersuchungshaft erlassen (oben E. B). Der Beschwerdeführer könnte mithin auch nicht im Vertrauen geschützt werden, er sei in die Freiheit entlassen worden.</w:t>
      </w:r>
    </w:p>
    <w:p>
      <w:r>
        <w:t>Er macht zu Unrecht geltend, die Verfügung vom 7. September 2009 könne wegen ihrer Rechtskraft nicht aufgehoben werden. Materiell unrichtige Verfügungen können nach Ablauf der Rechtsmittelfrist unter bestimmten Voraussetzungen widerrufen werden ( BGE 134 V 257 E. 2.2; 127 II 306 E. 7a; 121 II 273 E. 1a/aa). Erstinstanzliche Verwaltungsverfügungen treten nicht in materielle Rechtskraft. Stellt die Behörde fest, dass sich die tatsächlichen oder rechtlichen Umstände seit Erlass der formell rechtskräftigen Verfügung geändert haben, so dass sich die Verfügung jetzt als fehlerhaft erweist (nachträgliche Fehlerhaftigkeit), kann sie diese aufgrund des Legalitätsprinzips nötigenfalls ändern (PIERRE TSCHANNEN/ULRICH ZIMMERLI/MARKUS MÜLLER, Allgemeines Verwaltungsrecht, 3. Auflage, Bern 2009, § 31 Rz. 8 ff.).</w:t>
      </w:r>
    </w:p>
    <w:p>
      <w:r>
        <w:t>Für eine Änderung bestehen ausreichende Gründe. Die Verfügung vom 7. September 2000 wurde unter Voraussetzungen erlassen, die sich nachträglich als unzutreffend erwiesen. Die Weiterführung der Massnahme liegt klar im öffentlichen Interesse und ebenso im Interesse des Beschwerdeführers selbst. Nach dem forensischen Gutachten vom 28. November 2008 besteht bei entsprechenden Konstellationen eine hohe Rückfallgefahr. Es ginge von ihm eine erhebliche Gefahr für Leib und Leben Dritter aus (angefochtenes Urteil S. 6). Er wird im Massnahmevollzug seine im August 2008 begonnene Lehre fortsetzen können (angefochtenes Urteil S. 7). Keineswegs "soll seine aufgebaute Zukunft nun wieder zerstört werden", wie der Beschwerdeführer einwendet. Es kann nicht im Ernste behauptet werden, er habe in der Zwischenzeit seine Zukunft aufgebaut, und eine Betreuung sei nicht mehr nötig.</w:t>
      </w:r>
    </w:p>
    <w:p>
      <w:r>
        <w:rPr>
          <w:b/>
        </w:rPr>
        <w:t>E. 4</w:t>
      </w:r>
    </w:p>
    <w:p>
      <w:r>
        <w:t>Die Beschwerde ist abzuweisen. Das Gesuch um unentgeltliche Rechtspflege kann gutgeheissen werden. Es sind keine Kosten zu erheben. Der Rechtsvertreter des Beschwerdeführers ist aus der Bundesgerichtskasse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