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367/2021 vom 14. Dezember 2021</w:t>
      </w:r>
    </w:p>
    <w:p>
      <w:r>
        <w:t>Bundesgericht, 2021-12-14, FR</w:t>
      </w:r>
    </w:p>
    <w:p>
      <w:r>
        <w:rPr>
          <w:b/>
        </w:rPr>
        <w:t xml:space="preserve">Quelle: </w:t>
      </w:r>
      <w:r>
        <w:t>https://mcp.opencaselaw.ch/entscheid/bger_6B_367_2021</w:t>
      </w:r>
    </w:p>
    <w:p>
      <w:r>
        <w:t>FR: TF 6B 367/2021 du 14 décembre 2021</w:t>
      </w:r>
    </w:p>
    <w:p>
      <w:r>
        <w:t>IT: TF 6B 367/2021 del 14 dicembre 2021</w:t>
      </w:r>
    </w:p>
    <w:p>
      <w:pPr>
        <w:pStyle w:val="Heading2"/>
      </w:pPr>
      <w:r>
        <w:t>Regeste</w:t>
      </w:r>
    </w:p>
    <w:p>
      <w:r>
        <w:t>Viol, etc. ; indemnité pour tort moral ; frais ; arbitraire | Infractions</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l'espèce, la recourante a pris part à la procédure devant les juridictions précédentes, notamment devant la dernière instance cantonale. Elle a fait valoir dans ce cadre des prétentions en indemnisation du tort moral, par 15'000 fr., fondées sur les actes de viol et de contrainte sexuelle qu'elle reproche à l'intimé d'avoir commis à son préjudice. Ce dernier ayant été acquitté de ces chefs d'accusation, la recourante a dès lors qualité pour recourir au regard de l'art. 81 al. 1 let. b ch. 5 LTF.</w:t>
      </w:r>
    </w:p>
    <w:p>
      <w:r>
        <w:rPr>
          <w:b/>
        </w:rPr>
        <w:t>E. 2</w:t>
      </w:r>
    </w:p>
    <w:p>
      <w:r>
        <w:t>La recourante conteste l'acquittement de l'intimé des chefs de viol et de contrainte sexuelle. Elle se plaint d'un établissement arbitraire des faits ainsi que de violations des art. 189 et 190 CP .</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appellatoires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 Lorsque l'appréciation des preuves et la constatation des faits sont critiquées en référence à la présomption d'innocence ( art. 6 par. 2 CEDH , 32 al. 1 Cst. et 10 CPP), le principe " in dubio pro reo " n'a pas de portée plus large que l'interdiction de l'arbitraire ( ATF 146 IV 88 consid. 1.3.1; 145 IV 154 consid. 1.1).</w:t>
      </w:r>
    </w:p>
    <w:p>
      <w:r>
        <w:rPr>
          <w:b/>
        </w:rPr>
        <w:t>E. 2.2.1</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 L' art. 189 CP , de même que l' art. 190 CP , tendent à protéger la libre détermination en matière sexuelle, en réprimant l'usage de la contrainte aux fins d'amener une personne à faire ou à subir, sans son consentement, un acte d'ordre sexuel ( art. 189 CP ) ou une personne de sexe féminin à subir l'acte sexuel ( art. 190 CP ), par lequel on entend l'union naturelle des parties génitales d'un homme et d'une femme ( ATF 123 IV 49 consid. 2; arrêt 6B_1271/2020 du 20 août 2021 consid. 1.2). Pour qu'il y ait contrainte en matière sexuelle, il faut que la victime ne soit pas consentante, que l'auteur le sache ou accepte cette éventualité et qu'il passe outre en profitant de la situation ou en utilisant un moyen efficace ( ATF 122 IV 97 consid. 2b; arrêts 6B_1307/2020 du 19 juillet 2021 consid. 2.1; 6B_935/2020 du 25 février 2021 consid. 4.1; 6B_159/2020 du 20 avril 2020 consid. 2.4.1). L' art. 189 CP ne protège des atteintes à la libre détermination en matière sexuelle que pour autant que l'auteur surmonte ou déjoue la résistance que l'on pouvait raisonnablement attendre de la victime ( ATF 133 IV 49 consid. 4 et l'arrêt cité). Le viol et la contrainte sexuelle supposent ainsi l'emploi d'un moyen de contrainte. Il s'agit notamment de l'usage de la violence. La violence désigne l'emploi volontaire de la force physique sur la personne de la victime dans le but de la faire céder ( ATF 122 IV 97 consid. 2b; arrêt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87 IV 66 consid. 1 p. 68). Selon les circonstances, un déploiement de force relativement faible peut suffire. Ainsi, peut déjà suffire le fait de maintenir la victime avec la force de son corps, de la renverser à terre, de lui arracher ses habits ou de lui tordre un bras derrière le dos (arrêts 6B_643/2021 du 21 septembre 2021 consid. 3.3.3; 6B_1444/2020 du 10 mars 2021 consid. 2.3.2; 6B_326/2019 du 14 mai 2019 consid. 3.2.1).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128 IV 106 consid. 3a/bb; 122 IV 97 consid. 2b). En cas de pressions d'ordre psychique, il n'est pas nécessaire que la victime ait été mise hors d'état de résister ( ATF 124 IV 154 consid. 3b). La pression psychique générée par l'auteur et son effet sur la victime doivent néanmoins atteindre une intensité particulière ( ATF 131 IV 167 consid. 3.1 et les références citées; arrêts 6B_935/2020 du 25 février 2021 consid. 4.1; 6B_693/2020 du 18 janvier 2021 consid. 3.1). Pour déterminer si l'on se trouve en présence d'une contrainte sexuelle, il faut procéder à une appréciation globale des circonstances concrètes déterminantes ( ATF 131 IV 107 consid. 2.2; arrêt 6B_1307/2020 du 19 juillet 2021 consid. 2.1).</w:t>
      </w:r>
    </w:p>
    <w:p>
      <w:r>
        <w:rPr>
          <w:b/>
        </w:rPr>
        <w:t>E. 2.2.2</w:t>
      </w:r>
    </w:p>
    <w:p>
      <w:r>
        <w:t>Sur le plan subjectif, la contrainte sexuelle est une infraction intentionnelle. L'auteur doit savoir que la victime n'est pas consentante ou en accepter l'éventualité (arrêts 6B_643/2021 du 21 septembre 2021 consid. 3.3.4; 6B_583/2017 du 20 décembre 2017 consid. 3.4). Déterminer ce qu'une personne a su, voulu, envisagé ou accepté relève du contenu de la pensée, à savoir de faits " internes " qui, en tant que tels, lient le Tribunal fédéral (cf. art. 105 al. 1 LTF ), à moins qu'ils aient été retenus de manière arbitraire (cf. ATF 141 IV 369 consid. 6.3 p. 375).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6B_1285/2018 du 11 février 2019 consid. 2.2; 6B_968/2016 du 25 septembre 2017 consid. 2.1.2; 6B_575/2010 du 16 décembre 2010 consid. 1.3.2).</w:t>
      </w:r>
    </w:p>
    <w:p>
      <w:r>
        <w:rPr>
          <w:b/>
        </w:rPr>
        <w:t>E. 2.3</w:t>
      </w:r>
    </w:p>
    <w:p>
      <w:r>
        <w:t>Se plaignant d'un établissement arbitraire des faits, la recourante soutient avoir valablement exprimé son absence de consentement au moment des actes. Elle reproche également à la cour cantonale de ne pas avoir retenu que le comportement violent de l'intimé l'avait découragée à lui résister physiquement.</w:t>
      </w:r>
    </w:p>
    <w:p>
      <w:r>
        <w:rPr>
          <w:b/>
        </w:rPr>
        <w:t>E. 2.3.1</w:t>
      </w:r>
    </w:p>
    <w:p>
      <w:r>
        <w:t>La cour cantonale a relevé que les vidéos tournées le matin des faits, figurant la recourante notamment en train de prodiguer une fellation à l'intimé et de se faire sodomiser par ce dernier, ne montraient pas de violence, ni de menaces susceptibles de justifier une soumission aux actes sexuels incriminés. Aussi, les juges précédents ont considéré que, si l'on entendait certes la recourante parler de " viol " sur les vidéos en cause, ces assertions, énoncées d'un ton calme et posé, ne coïncidaient pas avec la réalité des images. Ainsi, plus généralement, si le discours tenu par la recourante lors des actes dénotait un certain mépris envers son compagnon, on ne pouvait pas en inférer un refus d'entretenir des rapports sexuels avec lui. Cela était d'autant moins le cas qu'elle avait reconnu l'avoir embrassé à plusieurs reprises au moment des faits et s'être masturbée au moyen de son vibromasseur ainsi qu'avec sa main, comme cela ressortait de la dernière vidéo, tandis que l'intimé l'appelait régulièrement " chouchou ". La cour cantonale en a déduit que le sentiment subjectif de la recourante de s'être sentie contrainte à exécuter ou à subir des actes d'ordre sexuel n'était pas perceptible par l'intimé, la recourante ayant elle-même concédé que l'intéressé devait sûrement penser, " dans sa tête ", qu'il n'était pas en train de la forcer (cf. jugement attaqué, consid. 9.2 p. 29 s.).</w:t>
      </w:r>
    </w:p>
    <w:p>
      <w:r>
        <w:rPr>
          <w:b/>
        </w:rPr>
        <w:t>E. 2.3.2</w:t>
      </w:r>
    </w:p>
    <w:p>
      <w:r>
        <w:t>Pour autant, contrairement à ce que le raisonnement de la cour cantonale sous-entend, les propos tenus par la recourante au moment même des actes, tels qu'ils ressortent de la transcription des films produits au dossier, ne prêtaient nullement à équivoque quant à la perception de l'intéressée, qui avait alors clairement et distinctement exprimé, par ses paroles, son opposition à se soumettre à des actes d'ordre sexuel (" Tu sais ce que ça s'appelle ça? C'est du viol. "; " T'es grave, t'es complètement malade. Tu te rends compte que c'est du viol? "; " Tu seras fier de m'avoir obligée à faire ça. J'espère que tu seras content. "; " Parce que tu crois que je vais prendre du plaisir comme ça, t'es en train de me forcer à te sucer. "). Au-delà du ton pondéré et calme avec lequel ils avaient été prononcés, ces propos, énoncés de manière répétée et insistante, auraient manifestement dû suffire à faire réagir l'intimé, à qui il revenait, dans un tel contexte, de cesser les rapports sexuels pour, à tout le moins, s'assurer du consentement de sa partenaire, et non en tout cas comme il l'a fait, de simplement la contredire (" Non, je te viole pas ") tout en poursuivant ses actes.</w:t>
      </w:r>
    </w:p>
    <w:p>
      <w:r>
        <w:rPr>
          <w:b/>
        </w:rPr>
        <w:t>E. 2.3.3</w:t>
      </w:r>
    </w:p>
    <w:p>
      <w:r>
        <w:t>Ainsi, compte tenu de ce qui précède, et en particulier au regard des propos clairs énoncés par la recourante au moment des faits, la cour cantonale ne pouvait pas, sauf à verser dans l'arbitraire, retenir que son opposition n'avait pas été perceptible par l'intimé. De même, dans la mesure où il est établi que la recourante avait exprimé son absence de consentement de manière suffisamment reconnaissable par ses paroles, il ne pouvait pas lui être opposé de ne pas s'être débattue ou encore de ne pas s'être manifestée par des cris ou des pleurs pendant les actes, le renoncement de la recourante à une opposition physique s'expliquant par la peur ressentie en raison des réactions potentiellement violentes de l'intimé lorsqu'il était contrarié (cf. consid. 2.4 infra ). Il en va également ainsi s'agissant des échanges de baisers et des actes de masturbation pratiqués par la recourante lors des ébats, qui ne constituaient pas en soi, en l'absence de réaction mesurée de l'intimé ensuite des paroles claires de la recourante, une circonstance décisive propre à convaincre d'un consentement. La pratique de tels actes dans le présent contexte peut au demeurant s'expliquer de manière plausible par le fait que la recourante était résignée devant la persévérance de l'intimé en dépit de son refus et voulait en finir au plus vite, comme elle l'a expliqué, en contribuant à l'excitation sexuelle de l'intimé, alors que tout acte d'opposition aurait été vain compte tenu du gabarit et de la force plus importants de l'intimé. Aucun élément ne permet du reste de supposer que les propos de la recourante étaient intervenus dans le cadre d'un jeu sexuel qui aurait été pratiqué par les protagonistes, l'intimé ne s'étant en tout cas pas prévalu.</w:t>
      </w:r>
    </w:p>
    <w:p>
      <w:r>
        <w:rPr>
          <w:b/>
        </w:rPr>
        <w:t>E. 2.4</w:t>
      </w:r>
    </w:p>
    <w:p>
      <w:r>
        <w:t>Par ailleurs, au moment de déterminer si l'intimé avait fait usage d'un moyen de contrainte, au sens des art. 189 et 190 CP , il ne pouvait pas être fait abstraction de la crainte que celui-ci inspirait à la recourante au moment des faits, de par ses antécédents de violence à son égard, en particulier lorsqu'il se trouvait contrarié. Il est ainsi constant que, la veille des faits, une dispute virulente avait opposé le couple, au cours de laquelle l'intimé, pris de colère en raison de soupçons d'infidélité de sa compagne, avait cassé l'ordinateur et le téléphone portable de cette dernière, puis l'avait tirée par les bras, la faisant chuter dans les escaliers. Si la situation s'était certes apaisée durant la soirée, la recourante avait néanmoins exprimé en cours de procédure avoir eu l'impression que l'intimé l'avait séquestrée, dès lors qu'il s'était emparé de ses clés lors de ses absences successives, la veille, pour aller skier, puis pour se rendre à W.________. Cette impression s'était poursuivie le jour des faits, ce qui peut être déduit des paroles prononcées par la recourante lors des ébats filmés (" A peine ouais. J'te viole pas. Séquestrée. ") ainsi que de la manière dont elle s'était échappée de l'appartement après que l'intimé avait quitté les lieux ensuite des rapports sexuels, celle-là s'étant alors retrouvée pendue à la fenêtre de l'appartement qu'elle avait empruntée pour fuir, avant qu'un voisin, F.________, la retrouve en détresse et paniquée (cf. jugement attaqué, consid. 5.3 p. 16 s.). Il ressort également du jugement attaqué que l'intimé s'était déjà montré violent à son égard à d'autres occasions. Il avait ainsi reconnu avoir enfermé sa compagne dans une pièce de son ancien appartement et jeté la clé par la fenêtre (cf. jugement attaqué, consid. 8.2 p. 26). Il avait en outre admis l'avoir secouée par le bras et l'avoir fait tomber en 2014, l'avoir blessée à la cuisse, également en 2014, certes accidentellement, au moyen d'un taser ainsi que lui avoir donné à une autre occasion un coup de poing au visage (cf. jugement attaqué, consid. 6.4 p. 23). Dans le cadre de la procédure pénale, il a en outre été condamné pour des actes de violence commis envers un tiers, E.________, qu'il avait frappé après l'avoir invectivé verbalement (cf. jugement attaqué, consid. 10.4 p. 34). Il est également déduit des déclarations de l'intimé aux débats d'appel qu'il avait par le passé déjà été condamné pour des violences commises sur son ancienne compagne (cf. dossier cantonal, P. 796). Il avait d'ailleurs à cette occasion reconnu son caractère impulsif et violent (" Quand je m'énerve, je m'énerve. Il vaut mieux pas se trouver à côté de moi. Je suis impulsif. A l'époque, j'étais capable de gestes violents "), qui l'avait conduit par la suite à consulter un psychologue et à participer des groupes de discussion sur la gestion de la violence (cf. dossier cantonal, ibidem ). L'intimé avait du reste également expliqué avoir su que la recourante n'aimait pas qu'on lui éjacule au visage, mais avoir tout de même procédé à un tel acte le jour des faits, expliquant que c'était " une idée du moment " (cf. dossier cantonal, P. 797). Cela étant, l'appréciation de l'ensemble de ces circonstances devait conduire la cour cantonale à retenir qu'au-delà de tout doute raisonnable, c'était bien le caractère potentiellement violent de l'intimé, connu de la recourante, qui l'avait conduite à renoncer de lui résister physiquement, permettant ainsi à l'intimé de la contraindre à différents actes d'ordre sexuel, sans qu'il puisse être reproché à l'intéressée, au regard des circonstances, de ne pas avoir essayé de s'opposer à lui autrement que verbalement.</w:t>
      </w:r>
    </w:p>
    <w:p>
      <w:r>
        <w:rPr>
          <w:b/>
        </w:rPr>
        <w:t>E. 2.5</w:t>
      </w:r>
    </w:p>
    <w:p>
      <w:r>
        <w:t>Enfin, sur le plan subjectif, il devait être déduit que, par son comportement, et notamment par son absence de réaction aux paroles de la recourante signifiant son opposition, l'intimé s'était accommodé et avait accepté l'éventualité, à tout le moins, que son ascendant physique sur la recourante, de même que la crainte provoquée par son caractère impulsif et violent, lui servent à passer outre le refus exprimé par cette dernière et ainsi à la contraindre de pratiquer des actes d'ordre sexuel.</w:t>
      </w:r>
    </w:p>
    <w:p>
      <w:r>
        <w:rPr>
          <w:b/>
        </w:rPr>
        <w:t>E. 2.6</w:t>
      </w:r>
    </w:p>
    <w:p>
      <w:r>
        <w:t>Il s'ensuit qu'en sus des infractions pour lesquelles il avait déjà été condamné, l'intimé devait être également condamné pour contrainte sexuelle et viol, les agissements en cause portant également sur une contrainte à subir l'acte sexuel.</w:t>
      </w:r>
    </w:p>
    <w:p>
      <w:r>
        <w:rPr>
          <w:b/>
        </w:rPr>
        <w:t>E. 3</w:t>
      </w:r>
    </w:p>
    <w:p>
      <w:r>
        <w:t>Le recours doit dès lors être admis, le jugement attaqué annulé et la cause renvoyée à la cour cantonale pour nouvelle décision au sens des considérants qui précèdent. La recourante obtient gain de cause et n'a pas à supporter de frais. Elle peut en outre prétendre à de pleins dépens qui seront mis à la charge du canton du Valais ( art. 68 al. 2 LTF ), ce qui rend au surplus sans objet sa demande d'assistance judiciaire ( art. 64 al. 2 LTF ). La demande d'assistance judiciaire de l'intimé doit être admise, les conditions de l' art. 64 al. 1 LTF étant réunies. L'intimé est dispensé des frais de procédure et Me Marc-André Mabillard, désigné en qualité d'avocat d'office de l'intimé ( art. 64 al. 2 LTF ), est indemnisé. Dans les circonstances d'espèce, il peut être renoncé de mettre des dépens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