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365/2016 vom 29. Juli 2016</w:t>
      </w:r>
    </w:p>
    <w:p>
      <w:r>
        <w:t>Bundesgericht, 2016-07-29, FR</w:t>
      </w:r>
    </w:p>
    <w:p>
      <w:r>
        <w:rPr>
          <w:b/>
        </w:rPr>
        <w:t xml:space="preserve">Quelle: </w:t>
      </w:r>
      <w:r>
        <w:t>https://mcp.opencaselaw.ch/entscheid/bger_6B_365_2016</w:t>
      </w:r>
    </w:p>
    <w:p>
      <w:r>
        <w:t>FR: TF 6B 365/2016 du 29 juillet 2016</w:t>
      </w:r>
    </w:p>
    <w:p>
      <w:r>
        <w:t>IT: TF 6B 365/2016 del 29 luglio 2016</w:t>
      </w:r>
    </w:p>
    <w:p>
      <w:pPr>
        <w:pStyle w:val="Heading2"/>
      </w:pPr>
      <w:r>
        <w:t>Regeste</w:t>
      </w:r>
    </w:p>
    <w:p>
      <w:r>
        <w:t>Violation des règles de la circulation, restitution du délai | Infractions</w:t>
      </w:r>
    </w:p>
    <w:p>
      <w:pPr>
        <w:pStyle w:val="Heading2"/>
      </w:pPr>
      <w:r>
        <w:t>Erwägungen</w:t>
      </w:r>
    </w:p>
    <w:p>
      <w:r>
        <w:rPr>
          <w:b/>
        </w:rPr>
        <w:t>E. 1</w:t>
      </w:r>
    </w:p>
    <w:p>
      <w:r>
        <w:t>Le recourant conteste l'irrecevabilité frappant sa déclaration d'appel. Il soutient qu'en application du principe de la bonne foi, le Tribunal de police aurait dû l'informer que le dispositif du jugement pouvait lui être notifié dès le lendemain, ce d'autant plus qu'il a renoncé à sa notification orale.</w:t>
      </w:r>
    </w:p>
    <w:p>
      <w:r>
        <w:rPr>
          <w:b/>
        </w:rPr>
        <w:t>E. 1.1</w:t>
      </w:r>
    </w:p>
    <w:p>
      <w:r>
        <w:t>Lorsque le tribunal peut renoncer à une motivation écrite ( art. 82 CPP ), le jugement de première instance est d'abord notifié sous la forme d'un dispositif ( art. 84 al. 2 CPP ). L'annonce d'appel au tribunal doit se faire dans les dix jours à compter de la communication du jugement ( art. 399 al. 1 CPP ), soit dès la remise ou la notification du dispositif écrit ( art. 384 let. a CPP ). Puis conformément à l' art. 399 al. 2 CPP ,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 art. 399 al. 3 CPP en lien avec les art. 82 al. 2 et 84 al. 4 CPP). Le prononcé est réputé notifié lorsque, expédié par lettre signature, il n'a pas été retiré dans les sept jours à compter de la tentative infructueuse de remise du pli, si la personne concernée devait s'attendre à une telle remise ( art. 85 al. 4 let. a CPP ). Selon la jurisprudence, le devoir procédural d'avoir à s'attendre avec une certaine vraisemblance à recevoir la notification d'un acte officiel naît avec l'ouverture d'un procès et vaut pendant toute la durée de la procédure (cf. ATF 130 III 396 consid. 1.2.3 p. 399; arrêt 6B_1032/2015 du 25 mai 2016 consid. 1.1).</w:t>
      </w:r>
    </w:p>
    <w:p>
      <w:r>
        <w:rPr>
          <w:b/>
        </w:rPr>
        <w:t>E. 1.2</w:t>
      </w:r>
    </w:p>
    <w:p>
      <w:r>
        <w:t>En l'occurrence, le recourant, comme il l'admet lui-même, a été rendu attentif, le jour de l'audience, au fait qu'il avait renoncé au prononcé public du jugement et que, par conséquent, sa notification aurait lieu sans reprise d'audience. Il lui a également été précisé que le dispositif lui serait notifié par écrit sitôt le jugement rendu. Dès lors, le recourant a bien été rendu attentif au fait que le jugement lui serait notifié par voie postale. Il n'appartenait pas au Tribunal de police d'indiquer au recourant quand il lui serait notifié. A l'inverse, et comme l'a souligné la Cour d'appel pénale, il appartenait au recourant de se comporter conformément aux règles de la bonne foi et de faire en sorte que la décision, dont il savait qu'elle lui serait notifiée, puisse l'être correctement. Il devait soit relever son courrier soit prendre des dispositions pour que celui-ci lui parvienne néanmoins. Ce d'autant plus que, contrairement aux affirmations du recourant, l'envoi a eu lieu le 11 décembre 2015, soit bien avant les fêtes de Noël. Le recourant savait sans équivoque qu'il allait recevoir un jugement - son attention ayant été attirée sur ce point - et devait adapter son comportement en conséquence. Au vu de l'ensemble de ces éléments, la notification fictive déploie valablement ses effets.</w:t>
      </w:r>
    </w:p>
    <w:p>
      <w:r>
        <w:rPr>
          <w:b/>
        </w:rPr>
        <w:t>E. 2</w:t>
      </w:r>
    </w:p>
    <w:p>
      <w:r>
        <w:t>Dans un second argument, le recourant reproche à l'autorité de ne pas avoir fait usage de l' art. 94 al. 1 CPP en ne considérant pas l'acte du 6 janvier 2016 comme une demande de restitution.</w:t>
      </w:r>
    </w:p>
    <w:p>
      <w:r>
        <w:rPr>
          <w:b/>
        </w:rPr>
        <w:t>E. 2.1</w:t>
      </w:r>
    </w:p>
    <w:p>
      <w:r>
        <w:t>Selon l' art. 94 CPP , une partie peut demander la restitution du délai si elle a été empêchée de l'observer et qu'elle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Ces alinéas s'appliquent par analogie à l'inobservation d'un terme. Si la demande de restitution est acceptée, la direction de la procédure fixe un nouveau terme. Les dispositions relatives à la procédure par défaut sont réservées (al. 5).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6B_1074/2015 du 19 novembre 2015 consid. 3.1.1 et les références citées). Selon la jurisprudence, une restitution au sens de l' art. 94 CPP ne peut intervenir que lorsqu'un événement, par exemple une maladie ou un accident, met la partie objectivement ou subjectivement dans l'impossibilité d'agir par elle-même ou de charger une tierce personne d'agir en son nom dans le délai (arrêt 6B_49/2015 du 3 décembre 2015 consid. 3.1 et les références citées).</w:t>
      </w:r>
    </w:p>
    <w:p>
      <w:r>
        <w:rPr>
          <w:b/>
        </w:rPr>
        <w:t>E. 2.2</w:t>
      </w:r>
    </w:p>
    <w:p>
      <w:r>
        <w:t>En l'espèce, l'écriture du 6 janvier 2016 ne saurait être considérée comme une demande de restitution au sens de l' art. 94 CPP . En effet, le recourant ne présente aucune demande formelle de restitution de délai, n'indique pas que l'omission de retirer le pli recommandé serait intervenue sans sa faute ni ne justifie l'existence d'un préjudice important et irréparable. Il se contente d'expliquer qu'il se trouvait au Tessin au moment de l'envoi du pli recommandé, raison pour laquelle il n'aurait pas été en mesure de le retirer. Son écriture ne remplit pas les conditions formelles de la demande de restitution. En outre, même si tel devait être le cas, cette requête devrait de toute évidence être rejetée quant au fond. En effet, le recourant n'apporte pas la preuve qu'il était dans l'impossibilité d'agir sans sa faute, objectivement ou subjectivement, ni qu'il était dans l'impossibilité de charger une tierce personne d'agir en son nom. Son départ au Tessin avant la mi-décembre n'est à l'évidence pas un motif de restitution de délai. Dans ces circonstances, la Cour d'appel pouvait, sans violer l' art. 94 CPP , considérer que le recourant n'avait pas présenté de demande de restitution de délai, demande qui, en tout état de cause, était vouée à l'échec.</w:t>
      </w:r>
    </w:p>
    <w:p>
      <w:r>
        <w:rPr>
          <w:b/>
        </w:rPr>
        <w:t>E. 3</w:t>
      </w:r>
    </w:p>
    <w:p>
      <w:r>
        <w:t>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