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364/2019 vom 7. Mai 2019</w:t>
      </w:r>
    </w:p>
    <w:p>
      <w:r>
        <w:t>Bundesgericht, 2019-05-07, DE</w:t>
      </w:r>
    </w:p>
    <w:p>
      <w:r>
        <w:rPr>
          <w:b/>
        </w:rPr>
        <w:t xml:space="preserve">Quelle: </w:t>
      </w:r>
      <w:r>
        <w:t>https://mcp.opencaselaw.ch/entscheid/bger_6B_364_2019</w:t>
      </w:r>
    </w:p>
    <w:p>
      <w:r>
        <w:t>FR: TF 6B 364/2019 du 7 mai 2019</w:t>
      </w:r>
    </w:p>
    <w:p>
      <w:r>
        <w:t>IT: TF 6B 364/2019 del 7 maggio 2019</w:t>
      </w:r>
    </w:p>
    <w:p>
      <w:pPr>
        <w:pStyle w:val="Heading2"/>
      </w:pPr>
      <w:r>
        <w:t>Regeste</w:t>
      </w:r>
    </w:p>
    <w:p>
      <w:r>
        <w:t>Prozesskaution; Nichtanhandnahme; Nichteintreten | Strafprozess</w:t>
      </w:r>
    </w:p>
    <w:p>
      <w:pPr>
        <w:pStyle w:val="Heading2"/>
      </w:pPr>
      <w:r>
        <w:t>Erwägungen</w:t>
      </w:r>
    </w:p>
    <w:p>
      <w:r>
        <w:rPr>
          <w:b/>
        </w:rPr>
        <w:t>E. 1</w:t>
      </w:r>
    </w:p>
    <w:p>
      <w:r>
        <w:t>Die Staatsanwaltschaft See/Oberland nahm eine von der Beschwerdeführerin angestrebte Strafuntersuchung wegen Drohung etc. nicht an die Hand. Auf die dagegen gerichtete Beschwerde trat das Obergericht des Kantons Zürich am 14. März 2019 mangels Leistung der geforderten Prozesskaution nicht ein. Die Beschwerdeführerin gelangt mit mehreren Eingaben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Die Eingaben genügen nicht den gesetzlichen Begründungsanforderungen. Die Beschwerdeführerin setzt sich mit dem angefochtenen Beschluss nicht auseinander und zeigt nicht auf, inwieweit das Nichteintreten des Obergerichts infolge Nichtleistung der Prozesssicherheit gegen Bundesrecht verstossen soll. Dies ist auch nicht ersichtlich. Aus den Eingaben ergibt sich mithin nicht ansatzweise, inwiefern der Beschluss des Obergerichts gegen das Recht im Sinne von Art. 95 BGG verstossen könnte. Darauf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