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6B_363/2019 vom 8. April 2019</w:t>
      </w:r>
    </w:p>
    <w:p>
      <w:r>
        <w:t>Bundesgericht, 2019-04-08, DE</w:t>
      </w:r>
    </w:p>
    <w:p>
      <w:r>
        <w:rPr>
          <w:b/>
        </w:rPr>
        <w:t xml:space="preserve">Quelle: </w:t>
      </w:r>
      <w:r>
        <w:t>https://mcp.opencaselaw.ch/entscheid/bger_6B_363_2019</w:t>
      </w:r>
    </w:p>
    <w:p>
      <w:r>
        <w:t>FR: TF 6B_363/2019 du 8 avril 2019</w:t>
      </w:r>
    </w:p>
    <w:p>
      <w:r>
        <w:t>IT: TF 6B_363/2019 del 8 aprile 2019</w:t>
      </w:r>
    </w:p>
    <w:p>
      <w:pPr>
        <w:pStyle w:val="Heading2"/>
      </w:pPr>
      <w:r>
        <w:t>Erwägungen</w:t>
      </w:r>
    </w:p>
    <w:p>
      <w:r>
        <w:rPr>
          <w:b/>
        </w:rPr>
        <w:t>E. 1</w:t>
      </w:r>
    </w:p>
    <w:p>
      <w:r>
        <w:t>Eine Beschwerde ans Bundesgericht ist innert 30 Tagen nach der Eröffnung der vollständigen Ausfertigung des angefochtenen Entscheids beim Bundesgericht einzureichen ( Art. 100 Abs. 1 BGG ). Gemäss Empfangsbestätigung ist der angefochtene Entscheid am 21. Januar 2019 beim damaligen Verteidiger des Beschwerdeführers eingegangen. Die Beschwerde hätte daher, um rechtzeitig zu sein, spätestens am 20. Februar 2019 beim Bundesgericht eingereicht werden müssen. Sie wurde indessen erst am 19. März 2019 der Post übergeben und ist somit verspätet.</w:t>
      </w:r>
    </w:p>
    <w:p>
      <w:r>
        <w:rPr>
          <w:b/>
        </w:rPr>
        <w:t>E. 2</w:t>
      </w:r>
    </w:p>
    <w:p>
      <w:r>
        <w:t>Im Übrigen wäre auf die Beschwerde auch deshalb nicht einzutreten, weil sie den Begründungsanforderungen von Art. 42 Abs. 2 BGG nicht entspricht.</w:t>
      </w:r>
    </w:p>
    <w:p>
      <w:r>
        <w:rPr>
          <w:b/>
        </w:rPr>
        <w:t>E. 3</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