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362/2022 vom 22. Juni 2022</w:t>
      </w:r>
    </w:p>
    <w:p>
      <w:r>
        <w:t>Bundesgericht, 2022-06-22, DE</w:t>
      </w:r>
    </w:p>
    <w:p>
      <w:r>
        <w:rPr>
          <w:b/>
        </w:rPr>
        <w:t xml:space="preserve">Quelle: </w:t>
      </w:r>
      <w:r>
        <w:t>https://mcp.opencaselaw.ch/entscheid/bger_6B_362_2022</w:t>
      </w:r>
    </w:p>
    <w:p>
      <w:r>
        <w:t>FR: TF 6B 362/2022 du 22 juin 2022</w:t>
      </w:r>
    </w:p>
    <w:p>
      <w:r>
        <w:t>IT: TF 6B 362/2022 del 22 giugno 2022</w:t>
      </w:r>
    </w:p>
    <w:p>
      <w:pPr>
        <w:pStyle w:val="Heading2"/>
      </w:pPr>
      <w:r>
        <w:t>Regeste</w:t>
      </w:r>
    </w:p>
    <w:p>
      <w:r>
        <w:t>Mehrfache qualifizierte Widerhandlung gegen das Betäubungsmittelgesetz, qualifizierte Geldwäscherei | Straftaten</w:t>
      </w:r>
    </w:p>
    <w:p>
      <w:pPr>
        <w:pStyle w:val="Heading2"/>
      </w:pPr>
      <w:r>
        <w:t>Erwägungen</w:t>
      </w:r>
    </w:p>
    <w:p>
      <w:r>
        <w:rPr>
          <w:b/>
        </w:rPr>
        <w:t>E. 1</w:t>
      </w:r>
    </w:p>
    <w:p>
      <w:r>
        <w:t>Der Beschwerdeführer wendet sich gegen die vorinstanzliche Sachverhaltsfeststellung.</w:t>
      </w:r>
    </w:p>
    <w:p>
      <w:r>
        <w:rPr>
          <w:b/>
        </w:rPr>
        <w:t>E. 1.1</w:t>
      </w:r>
    </w:p>
    <w:p>
      <w:r>
        <w:t>Diese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 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E.1.3, nicht publ. in: BGE 147 IV 534 ).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1.2.1</w:t>
      </w:r>
    </w:p>
    <w:p>
      <w:r>
        <w:t>Die Vorinstanz stellt fest, dass sich der Beschwerdeführer im Kokainhandel betätigte. Dies ergebe sich bereits zweifelsfrei aus seinen DNA-Spuren auf zwei Plastikbeuteln, die 42 Fingerlinge mit je 10 Gramm Kokaingemisch enthielten, wobei der Beschwerdeführer die DNA-Spuren nicht habe erklären können. Als weiteres Indiz wertet die Vorinstanz, dass die Grenzwache an seinen Händen, seinen Füssen und seiner Stirn Kokain fand. Zudem seien seine Kleidung und seine Schuhe mit Kokain kontaminiert gewesen. Die Grenzwache veranlasste eine Röntgenuntersuchung, die ergab, dass der Beschwerdeführer fünf Fingerlinge mit insgesamt EUR 25'000 im Körper hatte. Dass es sich dabei um Drogenerlös handelt, liegt gemäss Vorinstanz bereits aufgrund der Kokainspuren nahe. Der Beschwerdeführer habe zunächst behauptet, das Geld stamme aus dem Handel mit alten TV-Geräten und er habe es aus Angst vor Diebstahl in seinem Körper transportiert. Später habe er angegeben, dass er als Geldkurier tätig gewesen sei. Schliesslich berücksichtigt die Vorinstanz, dass der Beschwerdeführer vorbestraft ist, weil er am Flughafen Brüssel mit 96 geschluckten Fingerlingen, beinhaltend 2,186 Kilogramm Kokain, festgenommen worden war. Dass der Beschwerdeführer sich im Kokainhandel betätigte, erscheint gemäss Vorinstanz daher "persönlichkeitsadäquat". Alle diese Elemente belegen gemäss Vorinstanz in ihrer Gesamtheit bereits ohne Berücksichtigung von Erkenntnissen aus der Telefonkontrolle, dass sich der Beschwerdeführer erneut im Kokainhandel betätigte. Sodann wertet die Vorinstanz sorgfältig die Ergebnisse der Telefonkontrolle aus.</w:t>
      </w:r>
    </w:p>
    <w:p>
      <w:r>
        <w:rPr>
          <w:b/>
        </w:rPr>
        <w:t>E. 1.2.2</w:t>
      </w:r>
    </w:p>
    <w:p>
      <w:r>
        <w:t>Gemäss Vorinstanz ist erstellt, dass sich die Tätigkeit des Beschwerdeführers nicht in den zugestandenen Geldtransporten erschöpfte. Vielmehr habe er wichtige Funktionen innerhalb einer Drogenbande übernommen. Als Geldwäscherei gelte jede Handlung, die geeignet sei, die Einziehung von Vermögenswerten zu vereiteln, indem die Datenspur, der sogenannte paper trail, unterbrochen wird. Dafür komme etwa der Wechsel von Bargeld in andere Währungen oder der Transfer deliktisch erlangter Gelder in's Ausland in Frage, wobei die gewaschenen Vermögenswerte nachweislich aus einem Verbrechen stammen müssen. Der Beschwerdeführer habe die aus dem qualifizierten Betäubungsmittelhandel stammenden Vermögenswerte teilweise in Euro gewechselt und anschliessend auf konspirative Weise bar in die Niederlande verbracht. So habe er deren Einziehung verunmöglicht. Die Behauptung des Beschwerdeführers, das Geld sei in Euro gewechselt worden, weil die Niederlande der Eurozone angehören, spricht gemäss Vorinstanz nicht gegen die Annahme einer tatbestandsmässigen Handlung. Denn das Wechseln in Euro habe primär einen anderen Grund gehabt. Denn gleichzeitig habe es die Verfolgbarkeit des Drogenerlöses erschwert, was dem Beschwerdeführer bewusst gewesen sei.</w:t>
      </w:r>
    </w:p>
    <w:p>
      <w:r>
        <w:rPr>
          <w:b/>
        </w:rPr>
        <w:t>E. 1.3</w:t>
      </w:r>
    </w:p>
    <w:p>
      <w:r>
        <w:t>Was der Beschwerdeführer gegen die vorinstanzliche Sachverhaltsfeststellung vorträgt, verfängt nicht.</w:t>
      </w:r>
    </w:p>
    <w:p>
      <w:r>
        <w:rPr>
          <w:b/>
        </w:rPr>
        <w:t>E. 1.3.1</w:t>
      </w:r>
    </w:p>
    <w:p>
      <w:r>
        <w:t>Gemäss Beschwerdeführer könnten seine DNA-Spuren auch durch Blut, Speichel oder Hautschuppen auf die Plastikbeutel gelangt sein. Zwar sei eine Übertragung durch Berührung nicht ausgeschlossen, doch wären dann auch Fingerabdrücke zu erwarten gewesen. Willkürlich sei auch die Feststellung, beim Geld in seinem Körper handle es sich um Drogenerlös. Dies sei nicht zweifelsfrei erstellt und reiche nicht aus, ihm den Handel mit Kokain nachzuweisen. Sodann kritisiert der Beschwerdeführer die vorinstanzliche Würdigung der Ergebnisse der Telefonkontrolle. Schliesslich bringt er vor, die Vorinstanz stelle willkürlich fest, dass die in Euro gewechselten Vermögenswerte aus dem qualifizierten Betäubungsmittelhandel stammen.</w:t>
      </w:r>
    </w:p>
    <w:p>
      <w:r>
        <w:rPr>
          <w:b/>
        </w:rPr>
        <w:t>E. 1.3.2</w:t>
      </w:r>
    </w:p>
    <w:p>
      <w:r>
        <w:t>Der Beschwerdeführer verkennt,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Vorliegend kommt hinzu, dass die Sachverhaltswürdigung der Vorinstanz überzeugt und die Behauptungen des Beschwerdeführers keineswegs als zutreffender erscheinen. Der Beschwerdeführer setzt sich nicht hinreichend mit den Erwägungen der Vorinstanz auseinander. Er greift nur einzelne Elemente der Sachverhaltsfeststellung an, ohne die Gesamtwürdigung der Vorinstanz zu erschüttern. Damit belegt er keine Willkür. Auf unzulässige appellatorische Kritik am angefochtenen Urteil tritt das Bundesgericht nicht ein.</w:t>
      </w:r>
    </w:p>
    <w:p>
      <w:r>
        <w:rPr>
          <w:b/>
        </w:rPr>
        <w:t>E. 1.4</w:t>
      </w:r>
    </w:p>
    <w:p>
      <w:r>
        <w:t>Die vorinstanzliche Sachverhaltsfeststellung ist nicht zu beanstanden. Die rechtliche Würdigung als mehrfach qualifizierte Widerhandlung gegen das Betäubungsmittelgesetz und qualifizierte Geldwäscherei ficht der Beschwerdeführer nicht an.</w:t>
      </w:r>
    </w:p>
    <w:p>
      <w:r>
        <w:rPr>
          <w:b/>
        </w:rPr>
        <w:t>E. 2</w:t>
      </w:r>
    </w:p>
    <w:p>
      <w:r>
        <w:t>Der Beschwerdeführer wendet sich gegen die Strafzumessung.</w:t>
      </w:r>
    </w:p>
    <w:p>
      <w:r>
        <w:rPr>
          <w:b/>
        </w:rPr>
        <w:t>E. 2.1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mit Hinweisen).</w:t>
      </w:r>
    </w:p>
    <w:p>
      <w:r>
        <w:rPr>
          <w:b/>
        </w:rPr>
        <w:t>E. 2.2</w:t>
      </w:r>
    </w:p>
    <w:p>
      <w:r>
        <w:t>Die Vorinstanz orientiert sich bei der Strafzumessung am Modell von EUGSTER/FRISCHKNECHT (Strafzumessung im Betäubungsmittelhandel, in: AJP 3/2014, S. 327 ff.). Der Beschwerdeführer beanstandet, dass ihn die Vorinstanz auf der Hierarchiestufe 2 einordnet. Allerdings begründet die Vorinstanz diese Einordnung sorgfältig. Zwar sei der Beschwerdeführer nicht in die strategische Führung der Organisation eingebunden gewesen. Jedoch sei er für eine bestimmte Region verantwortlich gewesen und habe gestützt auf die Anweisungen der Organisationsspitze Führungsaufgaben übernommen. Auch sei er eine Vertrauensperson der Organisationsspitze gewesen und als Stellvertreter aufgetreten. Er habe die Organisationsstruktur gekannt und als Koordinator zwischen Kurieren im In- und Ausland, Depothaltern und der obersten Führung agiert. Dabei habe er zahlreichen Personen Weisungen erteilt, die ihrerseits Personen belieferten, welche keine Endabnehmer gewesen seien. Auch die mengenmässige, bandenmässige und gewerbsmässige Qualifikation sei gegeben. Schliesslich sei er für das Rückführen des Deliktserlöses zuständig gewesen. Unklar sei hingegen, in welchem Ausmass er persönlich an den Drogenverkäufen verdient habe. Die Vorinstanz nimmt an, dass er aufgrund seiner hohen Stellung innerhalb der Bande finanziell erheblich profitierte. Dies lasse auch der Bau einer Luxusvilla in Nigeria vermuten. Schliesslich sei er selbst nicht drogenabhängig.</w:t>
      </w:r>
    </w:p>
    <w:p>
      <w:r>
        <w:rPr>
          <w:b/>
        </w:rPr>
        <w:t>E. 2.3</w:t>
      </w:r>
    </w:p>
    <w:p>
      <w:r>
        <w:t>Was der Beschwerdeführer dagegen vorträgt, verfängt nicht. Er behauptet, eine auf der Hierarchiestufe 2 agierende Person würde sich niemals mit Kurierdiensten einer Lebensgefahr aussetzen. Dabei übersieht er, dass die Vorinstanz seine Tätigkeit als Drogen- und Geldkurier durchaus berücksichtigt. Sie hält fest, dass er bei den Grenzübertritten Betäubungsmittel und Deliktserlös bei sich trug. Das damit verbundene Risiko sei umso höher gewesen, als er bei einer Routinekontrolle mit weitergehenden Untersuchungen habe rechnen müssen, da gegen ihn eine Einreisesperre bestanden habe. Daraus schliesst die Vorinstanz, dass der Beschwerdeführer nicht der Hierarchiestufe 1 angehörte, sondern der Hierarchiestufe 2. Dieser Einordnung setzt der Beschwerdeführer bloss die unbegründete Behauptung entgegen, ihm könne höchstens eine Tätigkeit auf der untersten Hierarchiestufe zugeschrieben werden, während eine Verortung auf der Hierarchiestufe 2 weltfremd und nicht nachvollziehbar sei. Mit den überzeugenden Erwägungen der Vorinstanz setzt er sich nicht hinreichend auseinander. Darauf ist nicht einzutreten.</w:t>
      </w:r>
    </w:p>
    <w:p>
      <w:r>
        <w:rPr>
          <w:b/>
        </w:rPr>
        <w:t>E. 2.4</w:t>
      </w:r>
    </w:p>
    <w:p>
      <w:r>
        <w:t>Im Übrigen beanstandet der Beschwerdeführer die vorinstanzliche Strafzumessung nicht.</w:t>
      </w:r>
    </w:p>
    <w:p>
      <w:r>
        <w:rPr>
          <w:b/>
        </w:rPr>
        <w:t>E. 3</w:t>
      </w:r>
    </w:p>
    <w:p>
      <w:r>
        <w:t>Der Beschwerdeführer wendet sich gegen die Dauer seiner Landesverweisung und deren Eintragung im Schengener Informationssystem.</w:t>
      </w:r>
    </w:p>
    <w:p>
      <w:r>
        <w:rPr>
          <w:b/>
        </w:rPr>
        <w:t>E. 3.1</w:t>
      </w:r>
    </w:p>
    <w:p>
      <w:r>
        <w:t>Die Beschwerde in Strafsachen ist nach Art. 80 Abs. 1 BGG zulässig gegen Entscheide letzter kantonaler Instanzen. Dies bedeutet, dass der kantonale Instanzenzug nicht nur formell durchlaufen werden muss, sondern dass die Rügen, die dem Bundesgericht unterbreitet werden, soweit möglich, schon vor der Vorinstanz vorzubringen sind ( BGE 143 III 290 E. 1.1 ; 135 I 91 E. 2.1; Urteile 6B_1154/2015 vom 28. Juni 2016 E. 3, nicht publ. in: BGE 142 IV 299 ; 6B_877/2021 vom 7. Oktober 2021 E. 1.3.5; 6B_503/2021 vom 6. Juli 2021 E. 2; 6B_1376/2020 vom 1. Februar 2021 E. 6; 6B_187/2020 vom 21. Oktober 2020 E. 3.4; 6B_848/2016 vom 13. Februar 2017 E. 1.3.3; 6B_152/2013 vom 27. Mai 2013 E. 1). Auf die Rüge des Beschwerdeführers ist nicht einzutreten. Denn er thematisierte die Landesverweisung vor Vorinstanz überhaupt nicht. Damit fehlt es an der materiellen Ausschöpfung des Instanzenzugs.</w:t>
      </w:r>
    </w:p>
    <w:p>
      <w:r>
        <w:rPr>
          <w:b/>
        </w:rPr>
        <w:t>E. 3.2</w:t>
      </w:r>
    </w:p>
    <w:p>
      <w:r>
        <w:t>Unabhängig davon sind die Landesverweisung von 15 Jahren und die Eintragung im Schengener Informationssystem in keiner Weise zu beanstanden. Gemäss Art. 66a Abs. 1 lit. o StGB verweist das Gericht den Ausländer, der wegen einer Widerhandlung gegen Art. 19 Abs. 2 des Betäubungsmittelgesetzes verurteilt wird, unabhängig von der Höhe der Strafe für 5-15 Jahre aus der Schweiz.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 Die vorliegende Landesverweisung bewirkt offensichtlich keinen schweren persönlichen Härtefall, und die öffentlichen Interessen an der Landesverweisung überwiegen die privaten Interessen des Beschwerdeführers am Verbleib in der Schweiz eindeutig ( Art. 66a Abs. 2 Satz 1 StGB ), denn er hat keinerlei schützenswerten Bezug zur Schweiz. Zur Dauer der Landesverweisung hält die Vorinstanz zutreffend fest, dass angesichts der gravierenden Delinquenz und dem daraus folgenden Strafmass die maximale Dauer der Landesverweisung von 15 Jahren angemessen ist. Gleiches gilt für den Eintrag im Schengener Informationssystem. Daran ändert angesichts der Gefährlichkeit des Beschwerdeführers nichts, dass seine Lebensgefährtin und seine Kinder in Norwegen leben.</w:t>
      </w:r>
    </w:p>
    <w:p>
      <w:r>
        <w:rPr>
          <w:b/>
        </w:rPr>
        <w:t>E. 4</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