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361/2009 vom 18. Mai 2009</w:t>
      </w:r>
    </w:p>
    <w:p>
      <w:r>
        <w:t>Bundesgericht, 2009-05-18, FR</w:t>
      </w:r>
    </w:p>
    <w:p>
      <w:r>
        <w:rPr>
          <w:b/>
        </w:rPr>
        <w:t xml:space="preserve">Quelle: </w:t>
      </w:r>
      <w:r>
        <w:t>https://mcp.opencaselaw.ch/entscheid/bger_6B_361_2009</w:t>
      </w:r>
    </w:p>
    <w:p>
      <w:r>
        <w:t>FR: TF 6B 361/2009 du 18 mai 2009</w:t>
      </w:r>
    </w:p>
    <w:p>
      <w:r>
        <w:t>IT: TF 6B 361/2009 del 18 maggio 2009</w:t>
      </w:r>
    </w:p>
    <w:p>
      <w:pPr>
        <w:pStyle w:val="Heading2"/>
      </w:pPr>
      <w:r>
        <w:t>Regeste</w:t>
      </w:r>
    </w:p>
    <w:p>
      <w:r>
        <w:t>Décision de non-lieu (dénonciation calomnieuse); arbitraire | Droit pénal (en général)</w:t>
      </w:r>
    </w:p>
    <w:p>
      <w:pPr>
        <w:pStyle w:val="Heading2"/>
      </w:pPr>
      <w:r>
        <w:t>Erwägungen</w:t>
      </w:r>
    </w:p>
    <w:p>
      <w:r>
        <w:rPr>
          <w:b/>
        </w:rPr>
        <w:t>E. 1.1</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 arrêt 6B_733/ 2008 du 11 octobre 2008 et les références). S'agissant de délits contre l'honneur,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(arrêt 6S.351/2004 du 29 novembre 2004 consid. 2.3 et les références). La même exigence est valable pour le crime de dénonciation calomnieuse. Dans le cas présent, le recourant n'allègue pas, ni ne tente de démontrer, que les accusations portées à tort contre lui auraient ébranlé sa santé psychique ou qu'elles l'auraient mis dans un grand désarroi. Il n'est dès lors pas une victime au sens des art. 1, 37 LAVI et 81 al. 1 let. b ch. 5 LTF. Aussi ne peut-il recourir que pour se plaindre de la violation de ses droits formels.</w:t>
      </w:r>
    </w:p>
    <w:p>
      <w:r>
        <w:rPr>
          <w:b/>
        </w:rPr>
        <w:t>E. 1.2</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formels dont le lésé peut invoquer la violation devant le Tribunal fédéral doivent être entièrement séparés du fond.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de preuve motivé par l'appréciation anticipée de celle-ci ou par le défaut de pertinence juridique du fait à établir (cf. arrêt 6B_733/2008 du 11 octobre 2008 et les références, notamment ATF 120 Ia 157 consid. 2a/bb p. 160). En l'espèce, le recourant ne soutient pas qu'avant de rendre leurs décisions respectives, le juge d'instruction et la cour cantonale auraient omis de lui donner l'occasion de requérir des mesures d'instruction ou de faire valoir son point de vue; il critique l'appréciation des preuves et l'application du droit de fond qui ont conduit les autorités vaudoises à ne pas ordonner d'autres mesures d'instruction et à prononcer un non-lieu. Comme il n'est pas titulaire de l'action pénale, il n'a pas qualité pour contester ces points de l'arrêt attaqué. Son recours est dès lors manifestement irrecevable ( art. 108 al. 1 let. a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