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360/2018 vom 18. September 2018</w:t>
      </w:r>
    </w:p>
    <w:p>
      <w:r>
        <w:t>Bundesgericht, 2018-09-18, FR</w:t>
      </w:r>
    </w:p>
    <w:p>
      <w:r>
        <w:rPr>
          <w:b/>
        </w:rPr>
        <w:t xml:space="preserve">Quelle: </w:t>
      </w:r>
      <w:r>
        <w:t>https://mcp.opencaselaw.ch/entscheid/bger_6B_360_2018</w:t>
      </w:r>
    </w:p>
    <w:p>
      <w:r>
        <w:t>FR: TF 6B 360/2018 du 18 septembre 2018</w:t>
      </w:r>
    </w:p>
    <w:p>
      <w:r>
        <w:t>IT: TF 6B 360/2018 del 18 settembre 2018</w:t>
      </w:r>
    </w:p>
    <w:p>
      <w:pPr>
        <w:pStyle w:val="Heading2"/>
      </w:pPr>
      <w:r>
        <w:t>Regeste</w:t>
      </w:r>
    </w:p>
    <w:p>
      <w:r>
        <w:t>Prescription, séquestre en couverture des frais, indemnité; arbitraire | Procédure pénale</w:t>
      </w:r>
    </w:p>
    <w:p>
      <w:pPr>
        <w:pStyle w:val="Heading2"/>
      </w:pPr>
      <w:r>
        <w:t>Erwägungen</w:t>
      </w:r>
    </w:p>
    <w:p>
      <w:r>
        <w:rPr>
          <w:b/>
        </w:rPr>
        <w:t>E. 1</w:t>
      </w:r>
    </w:p>
    <w:p>
      <w:r>
        <w:t>Le recourant reproche à la cour cantonale d'avoir violé les art. 6 § 2 CEDH , 32 al. 1 Cst. ainsi que 329 al. 1 et 426 CPP en mettant à sa charge les frais de la procédure.</w:t>
      </w:r>
    </w:p>
    <w:p>
      <w:r>
        <w:rPr>
          <w:b/>
        </w:rPr>
        <w:t>E. 1.1</w:t>
      </w:r>
    </w:p>
    <w:p>
      <w:r>
        <w:t>Conformément à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 ATF 144 IV 202 consid. 2.2 et les arrêts cités).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 ATF 144 IV 202 consid. 2.2).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w:t>
      </w:r>
    </w:p>
    <w:p>
      <w:r>
        <w:rPr>
          <w:b/>
        </w:rPr>
        <w:t>E. 1.2</w:t>
      </w:r>
    </w:p>
    <w:p>
      <w:r>
        <w:t>La cour cantonale a considéré que le recourant avait, sans doute aucun, livré de la cocaïne en Suisse sans autorisation, contrevenant ainsi aux art. 4 et 5 LStup , qui constituent des normes essentielles en matière de santé publique.</w:t>
      </w:r>
    </w:p>
    <w:p>
      <w:r>
        <w:rPr>
          <w:b/>
        </w:rPr>
        <w:t>E. 1.3</w:t>
      </w:r>
    </w:p>
    <w:p>
      <w:r>
        <w:t>Le comportement sur lequel la cour cantonale fonde sa décision de mettre les frais de la cause à la charge du recourant est le fait d'avoir livré de la cocaïne en Suisse. Il s'agit d'un comportement réprimé par l' art. 19 al. 1 let. b LStup , aux termes duquel est passible d'une peine privative de liberté de trois ans au plus ou d'une peine pécuniaire celui qui, sans droit, entrepose, expédie, transporte, importe, exporte des stupéfiants ou les passe en transit. Dès lors, la motivation de la cour cantonale donne à penser que le recourant s'est bien rendu coupable de l'infraction qui lui était reprochée et viole par conséquent la présomption d'innocence.</w:t>
      </w:r>
    </w:p>
    <w:p>
      <w:r>
        <w:rPr>
          <w:b/>
        </w:rPr>
        <w:t>E. 2</w:t>
      </w:r>
    </w:p>
    <w:p>
      <w:r>
        <w:t>Le recourant reproche par ailleurs à la cour cantonale d'avoir violé l' art. 429 CPP faute de lui avoir alloué une indemnité au sens de cette disposition. Comme l'a relevé la cour cantonale, la question de l'indemnisation du prévenu ( art. 429 CPP ) doit être traitée en relation avec celle des frais ( art. 426 CPP ), de sorte l'admission du recours s'agissant de la question des frais implique également que la cour cantonale examine à nouveau la question de l'indemnité sollicitée par le recourant.</w:t>
      </w:r>
    </w:p>
    <w:p>
      <w:r>
        <w:rPr>
          <w:b/>
        </w:rPr>
        <w:t>E. 3</w:t>
      </w:r>
    </w:p>
    <w:p>
      <w:r>
        <w:t>Le recours doit être admis, le jugement attaqué annulé et la cause renvoyée à l'autorité cantonale pour nouvelle décision. Le recourant qui obtient gain de cause ne supportera pas de frais judiciaires ( art. 66 al. 1 LTF ) et peut prétendre à une indemnité de dépens à la charge du canton de Vaud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