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35/2024 vom 13. Mai 2024</w:t>
      </w:r>
    </w:p>
    <w:p>
      <w:r>
        <w:t>Bundesgericht, 2024-05-13, FR</w:t>
      </w:r>
    </w:p>
    <w:p>
      <w:r>
        <w:rPr>
          <w:b/>
        </w:rPr>
        <w:t xml:space="preserve">Quelle: </w:t>
      </w:r>
      <w:r>
        <w:t>https://mcp.opencaselaw.ch/entscheid/bger_6B_35_2024</w:t>
      </w:r>
    </w:p>
    <w:p>
      <w:r>
        <w:t>FR: TF 6B 35/2024 du 13 mai 2024</w:t>
      </w:r>
    </w:p>
    <w:p>
      <w:r>
        <w:t>IT: TF 6B 35/2024 del 13 maggio 2024</w:t>
      </w:r>
    </w:p>
    <w:p>
      <w:pPr>
        <w:pStyle w:val="Heading2"/>
      </w:pPr>
      <w:r>
        <w:t>Regeste</w:t>
      </w:r>
    </w:p>
    <w:p>
      <w:r>
        <w:t>Infraction à la LF sur les armes, les accessoires d'armes et les munitions; fixation de la peine; arbitraire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 6B_113/2021 du 8 juillet 2021 consid. 1). En l'occurrence, le recourant se limite à conclure à l'admission de son recours et au renvoi de la cause à la cour cantonale pour nouvelle décision. Ce faisant, il ne précise pas quelles sont les modifications du jugement attaqué qu'il entend concrètement solliciter sur le fond. Les brèves écritures du recours permettent toutefois de comprendre qu'il conclut, d'une part, à son acquittement du chef d'infraction à la LArm et, d'autre part, au prononcé d'une peine pécuniaire. Cela suffit tout juste pour satisfaire aux exigences de forme déduites de l' art. 42 al. 1 et 2 LTF .</w:t>
      </w:r>
    </w:p>
    <w:p>
      <w:r>
        <w:rPr>
          <w:b/>
        </w:rPr>
        <w:t>E. 2</w:t>
      </w:r>
    </w:p>
    <w:p>
      <w:r>
        <w:t>Le recourant conteste sa condamnation du chef d'infraction à la LArm, en invoquant un établissement arbitraire des faits et un défaut d'intention.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148 IV 409 consid. 2.2 p. 412 s.; 147 IV 73 consid. 4.1.2 p. 81). Les critiques de nature appellatoire sont irrecevables ( ATF 148 IV 409 consid. 2.2 p. 412 s.; 147 IV 73 consid. 4.1.2 p. 81; 146 IV 88 consid. 1.3.1 p. 92; 145 IV 154 consid. 1.1 p. 156). En outre, déterminer ce qu'une personne a su, voulu, envisagé ou accepté relève du contenu de la pensée, à savoir des faits "internes", qui, en tant que faits, lient le Tribunal fédéral ( art. 105 al. 1 LTF ), à moins qu'ils n'aient été retenus de manière arbitraire ( ATF 148 IV 234 consid. 3.4 p. 239; 142 IV 137 consid. 12 p. 152; 141 IV 369 consid. 6.3 p. 375).</w:t>
      </w:r>
    </w:p>
    <w:p>
      <w:r>
        <w:rPr>
          <w:b/>
        </w:rPr>
        <w:t>E. 2.2</w:t>
      </w:r>
    </w:p>
    <w:p>
      <w:r>
        <w:t>En l'espèce, dans une démarche purement appellatoire, le recourant se borne à opposer sa propre appréciation des faits à celle de la cour cantonale sans exposer en quoi l'autorité précédente aurait sombré dans l'arbitraire. Il en va notamment ainsi lorsqu'il affirme que le témoin entendu en première instance se serait " sans ambiguïté " accusé d'avoir négligemment mis l'objet litigieux dans la cave du recourant, que ce dernier n'aurait pris connaissance de l'existence de l'arme que lors de la perquisition de son domicile, que ledit témoignage serait crédible contrairement à ce qu'a retenu la cour cantonale, ou encore que son intention ferait défaut, le recourant ne considérant l'objet litigieux que comme un porte-clé. De tels développements sont irrecevables.</w:t>
      </w:r>
    </w:p>
    <w:p>
      <w:r>
        <w:rPr>
          <w:b/>
        </w:rPr>
        <w:t>E. 3</w:t>
      </w:r>
    </w:p>
    <w:p>
      <w:r>
        <w:t>Le recourant critique le prononcé d'une peine privative de liberté en lieu et place d'une peine pécuniaire, sans toutefois invoquer la violation d'une quelconque disposition légale.</w:t>
      </w:r>
    </w:p>
    <w:p>
      <w:r>
        <w:rPr>
          <w:b/>
        </w:rPr>
        <w:t>E. 3.1</w:t>
      </w:r>
    </w:p>
    <w:p>
      <w:r>
        <w:t>Les règles générales relatives à la fixation de la peine ( art. 47 CP ) ont été rappelées aux ATF 149 IV 217 consid. 1.1 p. 220, 144 IV 313 consid. 1.2 p. 319, 142 IV 137 consid. 9.1 p. 147 et 141 IV 61 consid. 6.1.1 p. 66 s.,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p. 220; 144 IV 313 consid. 1.2 p. 319). Selon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 choix de la sanction doit être opéré en tenant compte au premier chef de l'adéquation de la peine, de ses effets sur l'auteur et sur sa situation sociale ainsi que de son efficacité du point de vue de la prévention ( ATF 147 IV 241 consid. 3.2 p. 244 s.; 144 IV 313 consid. 1.1.1 p. 317 et les références citées).</w:t>
      </w:r>
    </w:p>
    <w:p>
      <w:r>
        <w:rPr>
          <w:b/>
        </w:rPr>
        <w:t>E. 3.2</w:t>
      </w:r>
    </w:p>
    <w:p>
      <w:r>
        <w:t>En l'espèce, le recourant reproche à la cour cantonale d'avoir considéré que le seul fait qu'il exerce la garde alternée sur sa fille, alors que celle-ci accédera à la majorité en juin 2024, ne constituait pas un argument suffisant pour justifier le choix d'une peine pécuniaire, et prétend au contraire qu'une telle circonstance lui permettrait de libérer les ressources financières nécessaires au paiement d'une peine pécuniaire. Ce faisant, le recourant n'expose pas en quoi la cour cantonale aurait abusé de son large pouvoir d'appréciation en prononçant une peine privative de liberté à son encontre, au regard des autres circonstances mises en exergue dans le jugement entrepris et qui ne sont pas discutés par l'intéressé, notamment du fait qu'aucune des sanctions prononcées à son encontre par le passé n'avait eu le moindre effet, et que malgré ses précédentes condamnations et l'exécution d'une peine de prison, il n'avait jamais cru bon de remettre en question son comportement. Pour le surplus, les autres griefs soulevés par le recourant tenant à sa situation financière s'avèrent dénués de pertinence pour contester le raisonnement cantonal, lequel ne prête pas le flanc à la critique quant à la fixation de la peine et auquel il peut être intégralement renvoyé ( art. 109 al. 3 LTF ).</w:t>
      </w:r>
    </w:p>
    <w:p>
      <w:r>
        <w:rPr>
          <w:b/>
        </w:rPr>
        <w:t>E. 4</w:t>
      </w:r>
    </w:p>
    <w:p>
      <w:r>
        <w:t>Au vu de ce qui précède, le recours, manifestement infondé, peut être écarté dans la procédure prévue par l' art. 109 al. 2 let. a LTF . Comme il était dénué de chances de succès, la demande d'assistance judiciaire doit être refusée ( art. 64 al. 1 LTF ). Le recourant, qui succombe, supportera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