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6B_35/2015 vom 28. Januar 2015</w:t>
      </w:r>
    </w:p>
    <w:p>
      <w:r>
        <w:t>Bundesgericht, 2015-01-28, FR</w:t>
      </w:r>
    </w:p>
    <w:p>
      <w:r>
        <w:rPr>
          <w:b/>
        </w:rPr>
        <w:t xml:space="preserve">Quelle: </w:t>
      </w:r>
      <w:r>
        <w:t>https://mcp.opencaselaw.ch/entscheid/bger_6B_35_2015</w:t>
      </w:r>
    </w:p>
    <w:p>
      <w:r>
        <w:t>FR: TF 6B_35/2015 du 28 janvier 2015</w:t>
      </w:r>
    </w:p>
    <w:p>
      <w:r>
        <w:t>IT: TF 6B_35/2015 del 28 gennaio 2015</w:t>
      </w:r>
    </w:p>
    <w:p>
      <w:pPr>
        <w:pStyle w:val="Heading2"/>
      </w:pPr>
      <w:r>
        <w:t>Erwägungen</w:t>
      </w:r>
    </w:p>
    <w:p>
      <w:r>
        <w:rPr>
          <w:b/>
        </w:rPr>
        <w:t>E. 1</w:t>
      </w:r>
    </w:p>
    <w:p>
      <w:r>
        <w:t>Par arrêt du 25 novembre 2014, la Chambre pénale du Tribunal cantonal fribourgeois a rejeté les recours formés par X.________ Sàrl (depuis lors X.________ SA), Y.________ et Z.________ contre l'ordonnance du 22 mai 2014 par laquelle le Ministère public du canton de Fribourg a classé la dénonciation et plainte pénale dirigée par les précités contre A.________ en tant qu'elle avait pour objet les accusations de contrainte et de concurrence déloyale.</w:t>
      </w:r>
    </w:p>
    <w:p>
      <w:r>
        <w:t>Y.________, Z.________ et X.________ SA, forment chacun un recours en matière pénale au Tribunal fédéral contre cet arrêt, concluant tous trois, avec suite de frais et dépens, à la condamnation de A.________ pour contrainte, la société anonyme, de surcroît, pour concurrence déloyale. Subsidiairement, ils demandent le renvoi du dossier au Ministère public du canton de Fribourg.</w:t>
      </w:r>
    </w:p>
    <w:p>
      <w:r>
        <w:rPr>
          <w:b/>
        </w:rPr>
        <w:t>E. 2</w:t>
      </w:r>
    </w:p>
    <w:p>
      <w:r>
        <w:t>Les trois recours visent la même décision. Ils ont trait au même complexe de faits et posent, pour l'essentiel, les mêmes questions juridiques. Il apparaît expédient de les traiter en un seul et même arrêt.</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137 IV 219 consid. 2.4 p. 222 s.).</w:t>
      </w:r>
    </w:p>
    <w:p>
      <w:r>
        <w:t>En l'espèce, les recourants n'exposent pas en quoi consisteraient leurs éventuelles prétentions civiles respectives, ni en quoi le classement de la procédure serait susceptible d'en influencer le jugement. Ils font tout au plus état, dans leurs écritures, d'une diminution du chiffre d'affaires de la société recourante qu'ils imputent à l'action syndicale de A.________. Toutefois, cette seule indication, très vague, ne permet pas encore de comprendre en quoi consisterait le préjudice financier de la personne morale susceptible de faire l'objet d'une réparation et moins encore de comprendre en quoi consisterait le préjudice direct (cf. art. 115 CPP ; ATF 138 IV 258 consid. 2.3 p. 263) subi par les deux personnes physiques recourantes.</w:t>
      </w:r>
    </w:p>
    <w:p>
      <w:r>
        <w:t>Pour le surplus, étant rappelé que la contrainte se poursuit d'office ( art. 181 CP ), la personne morale recourante n'invoque pas de violation de son droit de porter plainte (art. 81 al. 1 let. b ch. 6 LTF) en relation avec l' art. 23 LCD . Les recourants n'allèguent pas non plus la violation de leurs droits de partie équivalant à un déni de justice formel et, discutant de surcroît exclusivement le fond de la cause, ils ne peuvent prétendre être légitimés à recourir pour l'un ou l'autre de ces motifs ( ATF 136 IV 29 consid. 1.9 p. 40 et les références citées; ATF 129 IV 206 consid. 1 en relation avec l'ancien art. 270 let . f PPF; arrêt 6B_996/2013 du 22 janvier 2014).</w:t>
      </w:r>
    </w:p>
    <w:p>
      <w:r>
        <w:rPr>
          <w:b/>
        </w:rPr>
        <w:t>E. 4</w:t>
      </w:r>
    </w:p>
    <w:p>
      <w:r>
        <w:t>Le motif d'irrecevabilité est manifeste. Les recours doivent être écartés en application de l' art. 108 al. 1 let. a LTF . Les recourants succombent. Il supportent les frais de la procédure (art. 65 al. 2 et 66 al. 1 LTF) conjointement, à parts égales et solidairement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