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356/2012 vom 1. Oktober 2012</w:t>
      </w:r>
    </w:p>
    <w:p>
      <w:r>
        <w:t>Bundesgericht, 2012-10-01, FR</w:t>
      </w:r>
    </w:p>
    <w:p>
      <w:r>
        <w:rPr>
          <w:b/>
        </w:rPr>
        <w:t xml:space="preserve">Quelle: </w:t>
      </w:r>
      <w:r>
        <w:t>https://mcp.opencaselaw.ch/entscheid/bger_6B_356_2012</w:t>
      </w:r>
    </w:p>
    <w:p>
      <w:r>
        <w:t>FR: TF 6B 356/2012 du 1 octobre 2012</w:t>
      </w:r>
    </w:p>
    <w:p>
      <w:r>
        <w:t>IT: TF 6B 356/2012 del 1 ottobre 2012</w:t>
      </w:r>
    </w:p>
    <w:p>
      <w:pPr>
        <w:pStyle w:val="Heading2"/>
      </w:pPr>
      <w:r>
        <w:t>Regeste</w:t>
      </w:r>
    </w:p>
    <w:p>
      <w:r>
        <w:t>Brigandage, fixation de la peine | Infractions</w:t>
      </w:r>
    </w:p>
    <w:p>
      <w:pPr>
        <w:pStyle w:val="Heading2"/>
      </w:pPr>
      <w:r>
        <w:t>Erwägungen</w:t>
      </w:r>
    </w:p>
    <w:p>
      <w:r>
        <w:rPr>
          <w:b/>
        </w:rPr>
        <w:t>E. 1</w:t>
      </w:r>
    </w:p>
    <w:p>
      <w:r>
        <w:t>Le recourant soutient que la cour cantonale aurait arbitrairement retenu qu'il avait pris les téléphones portables de C.________ et B.Y.________, alors qu'en réalité ceux-ci les lui auraient remis. Dès lors qu'il n'aurait rien soustrait aux différents lésés, son comportement ne serait pas constitutif d'un brigandage. Il ne pourrait en outre pas être condamné pour extorsion n'ayant pas été mis en accusation devant l'autorité pour cette infraction.</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La notion d'arbitraire a été rappelée récemment dans l' ATF 137 I 1 consid. 2.4 p. 5, auquel on peut donc se référer. En bref, une décision n'est pas arbitraire du seul fait qu'elle apparaît discutable ou même critiquable; il faut qu'elle soit manifestement insoutenable, et cela non seulement dans sa motivation mais dans son résultat.</w:t>
      </w:r>
    </w:p>
    <w:p>
      <w:r>
        <w:rPr>
          <w:b/>
        </w:rPr>
        <w:t>E. 1.2</w:t>
      </w:r>
    </w:p>
    <w:p>
      <w:r>
        <w:t>L'analyse de la critique factuelle formée par le recourant implique préalablement de déterminer les éléments pertinents au regard des infractions discutées.</w:t>
      </w:r>
    </w:p>
    <w:p>
      <w:r>
        <w:rPr>
          <w:b/>
        </w:rPr>
        <w:t>E. 1.2.1</w:t>
      </w:r>
    </w:p>
    <w:p>
      <w:r>
        <w:t>Aux termes de l' art. 140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(ch. 1 al. 1). Le brigandage est une forme aggravée du vol qui se caractérise par les moyens que l'auteur a employés ( ATF 133 IV 207 consid. 4.2 p. 210;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 ATF 133 IV 207 consid. 4.3.1 p. 211). Au lieu de la violence, l'auteur peut employer la menace d'un danger imminent pour la vie ou l'intégrité corporelle, à l'exclusion d'autres biens juridiquement protégés. La menace doit être sérieuse, même si la victime ne l'a pas crue. Elle peut intervenir par actes concluants (cf. BERNARD CORBOZ, Les infractions en droit suisse, vol. I, 3e éd. 2010, no 6 ad art. 140 CP , p. 261). Il importe peu que la victime ait été mise dans l'incapacité de se défendre; il suffit que l'auteur ait recouru aux moyens indiqués et que le vol ait été consommé ( ATF 133 IV 207 consid. 4.3.1 p. 211).</w:t>
      </w:r>
    </w:p>
    <w:p>
      <w:r>
        <w:rPr>
          <w:b/>
        </w:rPr>
        <w:t>E. 1.2.2</w:t>
      </w:r>
    </w:p>
    <w:p>
      <w:r>
        <w:t>Selon l' art. 156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(ch. 3). Pour que cette infraction soit objectivement réalisée, il faut que l'auteur, par un moyen de contrainte, ait déterminé une personne à accomplir un acte portant atteinte à son patrimoine ou à celui d'un tiers. Dans le cas aggravé (156 ch. 3 CP), les moyens de contrainte sont les mêmes que ceux du brigandage.</w:t>
      </w:r>
    </w:p>
    <w:p>
      <w:r>
        <w:rPr>
          <w:b/>
        </w:rPr>
        <w:t>E. 1.2.3</w:t>
      </w:r>
    </w:p>
    <w:p>
      <w:r>
        <w:t>La distinction entre le brigandage et l'extorsion qualifiée au sens de l' 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Tel est par exemple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suffit de se servir dans ladite caisse (de cet avis: STRATENWERTH/JENNY/BOMMER, Schweizerisches Strafrecht, Besonderer Teil I, 7e éd. 2010, § 17 no 7, p. 455 s; NIGGLI/RIEDO, in Basler Kommentar, Strafrecht, 2e éd. 2007, no 178 ad art. 140 CP ; ANDREAS DONATSCH, Strafrecht III, 9e éd. 2008, p. 264 ss; TRECHSEL ET AL., Schweizerisches Strafgesetzbuch Praxiskommentar, 2008, no 18 ad. art. 156 CP ; BERNARD CORBOZ, op. cit., no 4 ad art. 156 CP , p. 398; DUPUIS ET AL., Petit commentaire du Code pénal, 2012, no 13 et 29 ad art. 156 CP ; OLIVIER PECORINI, Le brigandage et l'extorsion par brigandage d'une chose mobilière en droit pénal suisse, 1995, p. 117 s.; d'un avis divergeant: PHILIPPE WEISSENBERGER, in Basler Kommentar, Strafrecht, 2e éd. 2007, no 26 ss et 50 ad art. 156 CP ).</w:t>
      </w:r>
    </w:p>
    <w:p>
      <w:r>
        <w:rPr>
          <w:b/>
        </w:rPr>
        <w:t>E. 1.3</w:t>
      </w:r>
    </w:p>
    <w:p>
      <w:r>
        <w:t>La cour cantonale a apprécié les différents témoignages et a retenu que le recourant avait lui-même pris les téléphones portables de C.________ et B.Y.________. Savoir si la cour cantonale a arbitrairement retenu ce point peut demeurer indécis dès lors qu'il n'est pas de nature à faire apparaître la solution retenue comme arbitraire dans son résultat. En effet, contrairement à ce que soutient le recourant, le critère de la remise par la victime de son bien à l'auteur n'est pas, à lui seul, déterminant pour exclure un brigandage. Ainsi, même si l'on retenait la version du recourant selon laquelle il s'est fait remettre les téléphones portables, son comportement remplit tous les éléments constitutifs du brigandage. A la suite des menaces de mort répétées et des coups donnés, il a obtenu la remise des biens dont il aurait pu lui-même s'emparer. L'arbitraire dans l'appréciation des preuves dont il se plaint n'est donc pas de nature à faire apparaître la solution retenue comme arbitraire dans son résultat. La condamnation du recourant pour brigandage n'est en outre pas contraire au droit fédéral.</w:t>
      </w:r>
    </w:p>
    <w:p>
      <w:r>
        <w:rPr>
          <w:b/>
        </w:rPr>
        <w:t>E. 2</w:t>
      </w:r>
    </w:p>
    <w:p>
      <w:r>
        <w:t>Le recourant prétend qu'un brigandage ne peut pas être retenu à sa charge s'agissant de D.________. Les substances remises, à savoir 3 g de cannabis et des cubes de pollen de cannabis, étant illicites, elles ne peuvent appartenir à autrui et donc faire l'objet d'un brigandage. Il ne ressort pas du jugement entrepris que le recourant aurait été condamné précisément pour un brigandage commis à l'encontre de D.________, les éléments le concernant étant intégrés à la description des faits par la cour cantonale afin de relater le déroulement des événements de la soirée du 28 mai 2011. Au demeurant, s'il est exact que, dans les circonstances d'espèce, le cannabis et le pollen ne pouvaient pas faire l'objet d'un brigandage (cf. ATF 124 IV 102 consid. 2 p. 104 s.), le recourant oublie que D.________ lui a également remis son paquet de cigarettes, dont la détention est licite. A tout le moins pour cet objet, le recourant s'est rendu coupable de brigandage à l'égard de D.________.</w:t>
      </w:r>
    </w:p>
    <w:p>
      <w:r>
        <w:rPr>
          <w:b/>
        </w:rPr>
        <w:t>E. 3</w:t>
      </w:r>
    </w:p>
    <w:p>
      <w:r>
        <w:t>Le recourant soutient que la peine serait arbitrairement sévère.</w:t>
      </w:r>
    </w:p>
    <w:p>
      <w:r>
        <w:rPr>
          <w:b/>
        </w:rPr>
        <w:t>E. 3.1</w:t>
      </w:r>
    </w:p>
    <w:p>
      <w:r>
        <w:t>Les art. 47 et 50 CP codifient la jurisprudence relative à la fixation et à la motivation de la peine rendue en application de l'art. 63 aCP, laquelle conserve ainsi sa valeur, de sorte qu'on peut s'y référer (cf. ATF 134 IV 17 consid. 2.1 p. 19 s. et les arrêts cités). Il suffit au reste de rappeler que, pour fixer la peine, le juge dispose d'un large pouvoir d'appréciation.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60 et l'arrêt cité).</w:t>
      </w:r>
    </w:p>
    <w:p>
      <w:r>
        <w:rPr>
          <w:b/>
        </w:rPr>
        <w:t>E. 3.2</w:t>
      </w:r>
    </w:p>
    <w:p>
      <w:r>
        <w:t>Selon l' art. 19 al. 2 CP ,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 art. 19 CP . Dans ce cas, contrairement à la lettre de la disposition et en modification de la jurisprudence antérieure ( ATF 134 IV 132 consid. 6.1 p. 136 s.), il s'agit de diminuer la faute et non la peine; la réduction de la peine n'est que la conséquence de la faute plus légère ( ATF 136 IV 55 consid. 5.5 p. 59 s.).</w:t>
      </w:r>
    </w:p>
    <w:p>
      <w:r>
        <w:rPr>
          <w:b/>
        </w:rPr>
        <w:t>E. 3.2.1</w:t>
      </w:r>
    </w:p>
    <w:p>
      <w:r>
        <w:t>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 ATF 136 IV 55 consid. 5.6 p. 62).</w:t>
      </w:r>
    </w:p>
    <w:p>
      <w:r>
        <w:rPr>
          <w:b/>
        </w:rPr>
        <w:t>E. 3.2.2</w:t>
      </w:r>
    </w:p>
    <w:p>
      <w:r>
        <w:t>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3.3</w:t>
      </w:r>
    </w:p>
    <w:p>
      <w:r>
        <w:t>Le recourant ne prétend pas que le jugement attaqué serait fondé sur des critères étrangers à l' art. 47 CP , ni que des éléments d'appréciation prévus par cette disposition auraient été omis. Il n'apparaît par ailleurs pas que tel serait le cas. Il soutient toutefois que la peine infligée serait exagérément sévère dès lors que la cour cantonale n'aurait pas suffisamment tenu compte de la diminution de responsabilité du recourant. Il lui reproche à cet égard de ne pas avoir appliqué la méthode développée à l' ATF 136 IV 55 telle qu'exposée supra (consid. 3.2).</w:t>
      </w:r>
    </w:p>
    <w:p>
      <w:r>
        <w:rPr>
          <w:b/>
        </w:rPr>
        <w:t>E. 3.4</w:t>
      </w:r>
    </w:p>
    <w:p>
      <w:r>
        <w:t>S'agissant de la fixation de la peine, la cour cantonale a, après avoir exposé les éléments retenus à charge et à décharge par les juges de première instance, conclu que la peine de 30 mois ferme infligée par ces derniers était adéquate et qu'elle ne relevait ni d'un abus, ni d'un excès du pouvoir d'appréciation.</w:t>
      </w:r>
    </w:p>
    <w:p>
      <w:r>
        <w:rPr>
          <w:b/>
        </w:rPr>
        <w:t>E. 3.5</w:t>
      </w:r>
    </w:p>
    <w:p>
      <w:r>
        <w:t>Outre que cette approche méconnaît le libre pouvoir d'examen dont dispose la cour cantonale, aussi en matière de fixation de la peine (cf. art. 398 al. 2 CPP ; LUZIUS EUGSTER, in Basler Kommentar, Schweizerische Strafprozessordnung, 2011, no 1 ad art. 398 CPP ; MARKUS HUG, in Kommentar zur Schweizerische Strafprozessordnung, Donatsch/Hansjakob/Lieber (éd.), 2010, no 20 ad art. 398 CPP p. 1921), elle est contraire à la jurisprudence précitée (supra 3.2). En effet, conformément à cette dernière, la cour cantonale aurait d'abord dû apprécier juridiquement l'expertise psychiatrique et déterminer ainsi le degré de diminution de responsabilité retenu. Elle aurait ensuite dû exposer, en partant de la gravité objective de l'acte, dans quelle mesure la diminution de responsabilité retenue se répercutait sur l'appréciation de la faute, ainsi que les autres éléments qui augmentaient ou diminuaient la faute dans le cas concret et qui permettaient d'apprécier la faute en relation avec l'acte. Dans un dernier temps, elle aurait dû tenir compte des facteurs liés à l'auteur (Täterkomenente). Du jugement attaqué, on comprend que la cour cantonale a retenu une diminution de responsabilité légère à moyenne. On ne comprend toutefois pas comment la diminution retenue se répercute sur l'appréciation de la faute. En outre, la cour cantonale mêle des éléments permettant d'apprécier la faute dans le cas concret, tels que la motivation et le mode d'exécution de l'infraction, avec les facteurs liés au recourant, tels que ses antécédents, son âge et son comportement au cours de la procédure. La motivation de la cour cantonale ne permet pas de vérifier la bonne application du droit fédéral. Il convient dès lors d'annuler l'arrêt attaqué et de renvoyer la cause à l'autorité précédente.</w:t>
      </w:r>
    </w:p>
    <w:p>
      <w:r>
        <w:rPr>
          <w:b/>
        </w:rPr>
        <w:t>E. 4</w:t>
      </w:r>
    </w:p>
    <w:p>
      <w:r>
        <w:t>Le recours doit être partiellement admis. Pour le surplus, il est rejeté. Vu le sort du recours, une partie des frais sera supportée par le recourant ( art. 66 al. 1 LTF ), dont le montant sera toutefois fixé en tenant compte de sa situation financière. Ce dernier a requis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