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6B_353/2019 vom 25. April 2019</w:t>
      </w:r>
    </w:p>
    <w:p>
      <w:r>
        <w:t>Bundesgericht, 2019-04-25, FR</w:t>
      </w:r>
    </w:p>
    <w:p>
      <w:r>
        <w:rPr>
          <w:b/>
        </w:rPr>
        <w:t xml:space="preserve">Quelle: </w:t>
      </w:r>
      <w:r>
        <w:t>https://mcp.opencaselaw.ch/entscheid/bger_6B_353_2019</w:t>
      </w:r>
    </w:p>
    <w:p>
      <w:r>
        <w:t>FR: TF 6B_353/2019 du 25 avril 2019</w:t>
      </w:r>
    </w:p>
    <w:p>
      <w:r>
        <w:t>IT: TF 6B_353/2019 del 25 aprile 2019</w:t>
      </w:r>
    </w:p>
    <w:p>
      <w:pPr>
        <w:pStyle w:val="Heading2"/>
      </w:pPr>
      <w:r>
        <w:t>Erwägungen</w:t>
      </w:r>
    </w:p>
    <w:p>
      <w:r>
        <w:rPr>
          <w:b/>
        </w:rPr>
        <w:t>E. 1.1</w:t>
      </w:r>
    </w:p>
    <w:p>
      <w:r>
        <w:t>Le recourant reproche à la cour cantonale d'avoir confirmé le refus de la libération conditionnelle en violation de l' art. 86 CP ainsi que l'arbitraire dans l'appréciation des preuves.</w:t>
      </w:r>
    </w:p>
    <w:p>
      <w:r>
        <w:rPr>
          <w:b/>
        </w:rPr>
        <w:t>E. 1.2.1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2.2 et 2.3; arrêt 6B_103/2019 du 21 février 2019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125 IV 113 consid. 2a; arrêt 6B_103/2019 précité consid. 2.1). Afin de procéder à un pronostic différentiel, il sied de comparer les avantages et désavantages de l'exécution de la peine avec la libération conditionnelle ( ATF 124 IV 193 consid. 4a et consid. 5b/bb in JdT, 2000 VI 162; arrêt 6B_32/2019 du 28 février 2019 consid. 2.2).</w:t>
      </w:r>
    </w:p>
    <w:p>
      <w:r>
        <w:t>Dans l'émission du pronostic, l'autorité compétente dispose d'un large pouvoir d'appréciation. Le Tribunal fédéral n'intervient que si elle en a abusé, notamment lorsqu'elle a omis de tenir compte de critères pertinents et s'est fondée exclusivement sur les antécédents du condamné ( ATF 134 IV 140 consid. 4.2; 133 IV 201 consid. 2.3 p. 204).</w:t>
      </w:r>
    </w:p>
    <w:p>
      <w:r>
        <w:rPr>
          <w:b/>
        </w:rPr>
        <w:t>E. 1.2.2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140 III 264 consid. 2.3 p. 266 et les références citées). Le Tribunal fédéral n'examine la violation de droits fondamentaux que si ce moyen est invoqué et motivé par le recourant de manière précise ( art. 106 al. 2 LTF ), c'est-à-dire s'il a été expressément soulevé et exposé de manière claire et détaillée. Les critiques de nature appellatoire sont irrecevables ( ATF 142 III 364 consid. 2.4 p. 368 et les références citées).</w:t>
      </w:r>
    </w:p>
    <w:p>
      <w:r>
        <w:rPr>
          <w:b/>
        </w:rPr>
        <w:t>E. 1.3</w:t>
      </w:r>
    </w:p>
    <w:p>
      <w:r>
        <w:t>La cour cantonale a retenu que le recourant avait purgé les deux tiers de sa peine et son comportement en détention pouvait être qualifié d'adéquat. Dès lors, seul reste litigieux le pronostic relatif à son comportement futur.</w:t>
      </w:r>
    </w:p>
    <w:p>
      <w:r>
        <w:t>En substance, la cour cantonale a fondé le refus de la libération conditionnelle sur l'absence de prise de conscience, d'introspection et d'amendement. Le recourant n'était pas conscient de la nécessité d'un traitement ambulatoire tel qu'ordonné et avait par ailleurs indiqué qu'il ne s'y pliait que parce qu'il y était contraint. La cour cantonale a souligné que le recourant avait été condamné pénalement à trois reprises entre 2011 et 2015 pour des violences et menaces à l'égard de sa compagne. Même s'il avait compris qu'il existait un lien entre sa consommation et ses actes, il n'en demeurait pas moins qu'il n'avait pas saisi la gravité de ceux-ci. Ainsi, il n'était pas possible d'exclure que libre, le recourant consomme de nouveau de l'alcool et cède à ses pulsions violentes. La cour cantonale a estimé insuffisant un simple contrôle de l'abstinence. Elle a aussi exclu que le consentement de la victime à la reprise de la vie commune puisse jouer un rôle en faveur du recourant, pas plus qu'un emploi.</w:t>
      </w:r>
    </w:p>
    <w:p>
      <w:r>
        <w:rPr>
          <w:b/>
        </w:rPr>
        <w:t>E. 1.4</w:t>
      </w:r>
    </w:p>
    <w:p>
      <w:r>
        <w:t>Le recourant fait valoir l'avis favorable de la victime. C'est à juste titre que la cour cantonale a pris en compte les critères spécifiques à la libération conditionnelle, notamment le risque de récidive, qui ne dépend pas de l'avis de la victime.</w:t>
      </w:r>
    </w:p>
    <w:p>
      <w:r>
        <w:t>Le recourant évoque des rapports de thérapeutes intervenus après l'expertise, des contrôles de toxicologie négatifs, ainsi que le préavis positif de l'établissement pénitentiaire à sa libération. Les éléments précités ont été mentionnés par la cour cantonale, qui ne les a pas omis (cf. arrêt attaqué p. 7). Ces éléments, librement invoqués par le recourant, sont insuffisants pour faire apparaître le constat d'une absence de prise de conscience comme arbitraire. Il échoue également à établir qu'il était arbitraire de retenir qu'il n'a pas pris conscience de la nécessité d'un traitement. Le motif pour lequel il considère avoir terminé sa thérapie, à savoir un changement des thérapeutes, n'y change rien (cf. arrêt 6B_757/2014 du 17 décembre 2014 consid. 3.2.).</w:t>
      </w:r>
    </w:p>
    <w:p>
      <w:r>
        <w:t>Le recourant soutient que les règles de conduite proposées, soit une abstinence contrôlée, seraient aptes à garantir que libre, il ne consommera pas d'alcool et ne cédera pas à ses pulsions violentes. Ce faisant, le recourant perd de vue que la cour cantonale a pour l'essentiel fondé sa solution sur son absence de prise de conscience. Elle a exclu que les règles de conduite envisagées puissent empêcher une nouvelle consommation d'alcool et garantir suffisamment la sécurité publique, au regard en particulier des antécédents du recourant qui s'en était déjà pris à trois reprises par le passé à sa compagne. L'approche suivie par la cour cantonale ne viole pas le droit fédéral. La reprise de la vie commune avec sa compagne apparaît plutôt comme un facteur d'aggravation du risque.</w:t>
      </w:r>
    </w:p>
    <w:p>
      <w:r>
        <w:t>Sous l'angle de l'arbitraire, le recourant se plaint de ce que l'Office d'exécution des peines (OEP) avait préavisé défavorablement la libération conditionnelle sans demander une évaluation de la Commission interdisciplinaire consultative (CIC), alors qu'il demandait une telle évaluation. Aucun grief n'a, sur ce point, été traité par la cour cantonale, sans que l'intéressé ne se plaigne d'un déni de justice formel. Le grief est ainsi irrecevable faute d'épuisement des instances cantonales (cf. art. 80 al. 1 LTF ).</w:t>
      </w:r>
    </w:p>
    <w:p>
      <w:r>
        <w:rPr>
          <w:b/>
        </w:rPr>
        <w:t>E. 1.5</w:t>
      </w:r>
    </w:p>
    <w:p>
      <w:r>
        <w:t>Le recourant reproche à la cour cantonale de ne pas avoir pris en compte le pronostic différentiel de manière correcte en invoquant qu'elle n'avait pas démontré que la mise en danger diminuerait si la peine était entièrement exécutée. Il fait valoir que l'exécution complète ne favoriserait pas mieux la réinsertion sociale que la libération conditionnelle.</w:t>
      </w:r>
    </w:p>
    <w:p>
      <w:r>
        <w:t>Le recourant méconnaît que dans le cas d'un pronostic différentiel doublement défavorable, comme l'a retenu la cour cantonale en l'espèce, la libération conditionnelle ne peut pas être accordée si l'intérêt public à la sécurité prévaut au vu du pronostic et de l'importance des biens juridiques menacés (arrêts 6B_32/2019 précité consid. 2.10; 6B_208/2018 du 6 avril 2018 consid. 1.3; 6B_229/2017 du 20 avril 2017 consid. 3.5.3). Au vu des biens juridiques importants en jeu, c'est-à-dire l'intégrité physique, voire la vie, ainsi que le risque de récidive élevé découlant de l'absence de prise de conscience, le refus de la libération conditionnelle s'impose en l'espèce. Au surplus, la cour cantonale a retenu que l'exécution de la peine permettra de mettre en place une ouverture progressive de régime favorisant mieux la réinsertion sociale.</w:t>
      </w:r>
    </w:p>
    <w:p>
      <w:r>
        <w:rPr>
          <w:b/>
        </w:rPr>
        <w:t>E. 1.6</w:t>
      </w:r>
    </w:p>
    <w:p>
      <w:r>
        <w:t>Le recourant fait valoir à plusieurs reprises des arguments concernant des questions qui ne font pas l'objet de la présente procédure. Il en va ainsi des critiques qui visent le prononcé du traitement ambulatoire au sens de l' art. 63 CP . Ce faisant, il met en question le jugement exécutoire de la Cour d'appel pénale du 7 août 2018, sur lequel il n'y a pas lieu d'entrer en matière (cf. art. 80 al. 1 LTF ). Partant, son argumentation est irrecevable. Il en va de même s'agissant de la critique concernant le refus d'allégements dans l'exécution et la mise en place d'une ouverture progressive du régime avant l'exécution des deux tiers de sa peine.</w:t>
      </w:r>
    </w:p>
    <w:p>
      <w:r>
        <w:rPr>
          <w:b/>
        </w:rPr>
        <w:t>E. 1.7</w:t>
      </w:r>
    </w:p>
    <w:p>
      <w:r>
        <w:t>Il résulte de ce qui précède que l'approche de la cour cantonale, qui s'est livrée à une appréciation globale prenant en considération tous les éléments pertinents pour fonder sa décision aboutissant à un pronostic défavorable, ne viole pas le droit fédéral.</w:t>
      </w:r>
    </w:p>
    <w:p>
      <w:r>
        <w:rPr>
          <w:b/>
        </w:rPr>
        <w:t>E. 2</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