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6B_352/2013 vom 21. Mai 2013</w:t>
      </w:r>
    </w:p>
    <w:p>
      <w:r>
        <w:t>Bundesgericht, 2013-05-21, DE</w:t>
      </w:r>
    </w:p>
    <w:p>
      <w:r>
        <w:rPr>
          <w:b/>
        </w:rPr>
        <w:t xml:space="preserve">Quelle: </w:t>
      </w:r>
      <w:r>
        <w:t>https://mcp.opencaselaw.ch/entscheid/bger_6B_352_2013</w:t>
      </w:r>
    </w:p>
    <w:p>
      <w:r>
        <w:t>FR: TF 6B_352/2013 du 21 mai 2013</w:t>
      </w:r>
    </w:p>
    <w:p>
      <w:r>
        <w:t>IT: TF 6B_352/2013 del 21 maggio 2013</w:t>
      </w:r>
    </w:p>
    <w:p>
      <w:pPr>
        <w:pStyle w:val="Heading2"/>
      </w:pPr>
      <w:r>
        <w:t>Erwägungen</w:t>
      </w:r>
    </w:p>
    <w:p>
      <w:r>
        <w:rPr>
          <w:b/>
        </w:rPr>
        <w:t>E. 1</w:t>
      </w:r>
    </w:p>
    <w:p>
      <w:r>
        <w:t>Oberstaatsanwaltschaft des Kantons Solothurn, Franziskanerhof, Barfüssergasse 28, Postfach 157, 4502 Solothurn,</w:t>
      </w:r>
    </w:p>
    <w:p>
      <w:r>
        <w:rPr>
          <w:b/>
        </w:rPr>
        <w:t>E. 2</w:t>
      </w:r>
    </w:p>
    <w:p>
      <w:r>
        <w:t>A.________,</w:t>
      </w:r>
    </w:p>
    <w:p>
      <w:r>
        <w:rPr>
          <w:b/>
        </w:rPr>
        <w:t>E. 3</w:t>
      </w:r>
    </w:p>
    <w:p>
      <w:r>
        <w:t>B.________,</w:t>
      </w:r>
    </w:p>
    <w:p>
      <w:r>
        <w:rPr>
          <w:b/>
        </w:rPr>
        <w:t>E. 4</w:t>
      </w:r>
    </w:p>
    <w:p>
      <w:r>
        <w:t>C.________,</w:t>
      </w:r>
    </w:p>
    <w:p>
      <w:r>
        <w:rPr>
          <w:b/>
        </w:rPr>
        <w:t>E. 5</w:t>
      </w:r>
    </w:p>
    <w:p>
      <w:r>
        <w:t>D.________, vertreten durch Rechtsanwältin Dr. Corinne Saner,</w:t>
      </w:r>
    </w:p>
    <w:p>
      <w:r>
        <w:rPr>
          <w:b/>
        </w:rPr>
        <w:t>E. 6</w:t>
      </w:r>
    </w:p>
    <w:p>
      <w:r>
        <w:t>E.________,</w:t>
      </w:r>
    </w:p>
    <w:p>
      <w:r>
        <w:rPr>
          <w:b/>
        </w:rPr>
        <w:t>E. 7</w:t>
      </w:r>
    </w:p>
    <w:p>
      <w:r>
        <w:t>Die Vorinstanz stellte einen Teil der Strafuntersuchung wegen Verjährung ein (vgl. Urteil S. 7-9 E. 2). Aus den Überlegungen des Beschwerdeführer unter dem Titel "Verjährung" (vgl. act. 10 S. 17, act. 2 S. 7) ist nicht ersichtlich, inwieweit in diesem Zusammenhang eine Rechtsverletzung vorliegen könnte.</w:t>
      </w:r>
    </w:p>
    <w:p>
      <w:r>
        <w:rPr>
          <w:b/>
        </w:rPr>
        <w:t>E. 8</w:t>
      </w:r>
    </w:p>
    <w:p>
      <w:r>
        <w:t>Dass bei dem von der Vorinstanz festgestellten Sachverhalt eine schwere Körperverletzung, Amtsmissbrauch oder Urkundenfälschung vorliegen könnte, macht der Beschwerdeführer nicht geltend.</w:t>
      </w:r>
    </w:p>
    <w:p>
      <w:r>
        <w:rPr>
          <w:b/>
        </w:rPr>
        <w:t>E. 9</w:t>
      </w:r>
    </w:p>
    <w:p>
      <w:r>
        <w:t>Aus seinen Ausführungen zu den Kosten- und Entschädigungsfolgen (vgl. act. 2 S. 13) ist nicht ersichtlich, inwieweit die Vorinstanz dabei das Recht verletzt hätte. Dass das Urteil "weder gerecht noch sozialkompetent" sein soll, stellt keine hinreichende Begründung dar.</w:t>
      </w:r>
    </w:p>
    <w:p>
      <w:r>
        <w:rPr>
          <w:b/>
        </w:rPr>
        <w:t>E. 10</w:t>
      </w:r>
    </w:p>
    <w:p>
      <w:r>
        <w:t>Auf die Beschwerde ist im Verfahren nach Art. 108 BGG nicht einzutreten. Bei diesem Ausgang sind die Gerichtskosten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 Den Beschwerdegegnern 2-7 ist keine Entschädigung auszurichten, weil sie vor Bundesgericht keine Umtriebe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