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6B_351/2020 vom 25. November 2020</w:t>
      </w:r>
    </w:p>
    <w:p>
      <w:r>
        <w:t>Bundesgericht, 2020-11-25, FR</w:t>
      </w:r>
    </w:p>
    <w:p>
      <w:r>
        <w:rPr>
          <w:b/>
        </w:rPr>
        <w:t xml:space="preserve">Quelle: </w:t>
      </w:r>
      <w:r>
        <w:t>https://mcp.opencaselaw.ch/entscheid/bger_6B_351_2020</w:t>
      </w:r>
    </w:p>
    <w:p>
      <w:r>
        <w:t>FR: TF 6B_351/2020 du 25 novembre 2020</w:t>
      </w:r>
    </w:p>
    <w:p>
      <w:r>
        <w:t>IT: TF 6B_351/2020 del 25 novembre 2020</w:t>
      </w:r>
    </w:p>
    <w:p>
      <w:pPr>
        <w:pStyle w:val="Heading2"/>
      </w:pPr>
      <w:r>
        <w:t>Erwägungen</w:t>
      </w:r>
    </w:p>
    <w:p>
      <w:r>
        <w:rPr>
          <w:b/>
        </w:rPr>
        <w:t>E. 1</w:t>
      </w:r>
    </w:p>
    <w:p>
      <w:r>
        <w:t>Le Tribunal fédéral examine d'office ( art. 29 al. 1 LTF ) et librement la recevabilité des recours qui lui sont soumis ( ATF 143 IV 357 consid. 1 p. 358).</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146 IV 76 consid. 3.1 p. 82; 141 IV 1 consid. 1.1 p. 4).</w:t>
      </w:r>
    </w:p>
    <w:p>
      <w:r>
        <w:t>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w:t>
      </w:r>
    </w:p>
    <w:p>
      <w:r>
        <w:t>Lorsque la partie plaignante se plaint d'infractions distinctes, elle doit mentionner, par rapport à chacune d'elles, en quoi consiste son dommage (cf. encore récemment: arrêt 6B_682/2020 du 2 juillet 2020 consid. 2.1).</w:t>
      </w:r>
    </w:p>
    <w:p>
      <w:r>
        <w:rPr>
          <w:b/>
        </w:rPr>
        <w:t>E. 1.2</w:t>
      </w:r>
    </w:p>
    <w:p>
      <w:r>
        <w:t>En l'espèce, on comprend des explications de la recourante qu'elle entend faire valoir des prétentions civiles à concurrence de 140'576 euros, correspondant au montant global que la Cour d'appel d'Athènes l'a condamnée à verser à B.________, selon elle en raison des infractions d'escroquerie et de faux dans les titres qu'elle impute à ce dernier. Ces éléments permettent de considérer qu'elle a qualité pour recourir. Il y a donc lieu d'entrer en matière.</w:t>
      </w:r>
    </w:p>
    <w:p>
      <w:r>
        <w:rPr>
          <w:b/>
        </w:rPr>
        <w:t>E. 2</w:t>
      </w:r>
    </w:p>
    <w:p>
      <w:r>
        <w:t>Il ressort de l'arrêt querellé que la cour cantonale a confirmé l'ordonnance de non-entrée en matière du 21 novembre 2019 en retenant d'une part que les autorités pénales suisses, respectivement genevoises, n'étaient pas compétentes</w:t>
      </w:r>
    </w:p>
    <w:p>
      <w:r>
        <w:t>ratione loci (cf. art. 3 et 8 CP ) pour connaître des faits dénoncés par la recourante. D'autre part, la cour cantonale a considéré, s'agissant des infractions d'escroquerie et de faux dans les titres invoquées par cette dernière, que l'élément d'astuce faisait défaut et que les factures litigieuses ne pouvaient être qualifiées de faux intellectuels. L'arrêt cantonal repose ainsi sur une double motivation dont chaque pan est indépendant et suffit à sceller l'issue de la cause, étant rappelé qu'en pareille hypothèse, il incombe à la partie recourante, sous peine d'irrecevabilité, de discuter chacune de ces deux motivations ( ATF 142 III 364 consid. 2.4 p. 367 et les références citées; cf. encore récemment: arrêt 6B_1146/2020 du 12 octobre 2020 consid. 5).</w:t>
      </w:r>
    </w:p>
    <w:p>
      <w:r>
        <w:rPr>
          <w:b/>
        </w:rPr>
        <w:t>E. 3</w:t>
      </w:r>
    </w:p>
    <w:p>
      <w:r>
        <w:t>Invoquant une violation de l'interdiction de l'arbitraire, la recourante reproche à la cour cantonale d'avoir retenu qu'elle n'avait pas comparu devant la juridiction grecque, malgré les convocations qui lui avaient été adressées. Elle lui fait également grief d'avoir considéré sur cette base que l'élément constitutif de l'astuce n'était pas réalisé.</w:t>
      </w:r>
    </w:p>
    <w:p>
      <w:r>
        <w:rPr>
          <w:b/>
        </w:rPr>
        <w:t>E. 3.1</w:t>
      </w:r>
    </w:p>
    <w:p>
      <w:r>
        <w:t>Conformément à l' art. 310 al. 1 CPP , le ministère public rend immédiatement une ordonnance de non-entrée en matière s'il ressort de la dénonciation ou du rapport de police que les éléments constitutifs de l'infraction ou les conditions à l'ouverture de l'action pénale ne sont manifestement pas réunis (let. a) ou qu'il existe des empêchements de procéder (let. b).</w:t>
      </w:r>
    </w:p>
    <w:p>
      <w:r>
        <w:t>Cette disposition doit être appliquée conformément à l'adage in dubio pro duriore. Celui-ci découle du principe de la légalité ( art. 5 al. 1 Cst. et art. 2 al. 2 CPP en relation avec les art. 319 al. 1 et 324 al. 1 CPP; ATF 138 IV 86 consid. 4.2 p. 91) et signifie qu'en principe un classement ou une non-entrée en matière ne peuvent être prononcés par le ministère public que lorsqu'il apparaît clairement que les faits ne sont pas punissables ou que les conditions à la poursuite pénale ne sont pas remplies ( ATF 146 IV 68 consid. 2.1 p. 69).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 ATF 143 IV 241 consid. 2.2.1 p. 243; 138 IV 86 consid. 4.1.2 p. 91 et les références citées).</w:t>
      </w:r>
    </w:p>
    <w:p>
      <w:r>
        <w:rPr>
          <w:b/>
        </w:rPr>
        <w:t>E. 3.2</w:t>
      </w:r>
    </w:p>
    <w:p>
      <w:r>
        <w:t>Le Tribunal fédéral statue sur la base des faits établis par l'autorité précédente ( art. 105 al. 1 LTF ), à moins qu'ils aient été établis en violation du droit ou de manière manifestement inexacte au sens des art. 97 al. 1 et 105 al. 2 LTF, soit pour l'essentiel de façon arbitraire au sens de l' art. 9 Cst. ( ATF 145 IV 154 consid. 1.1 p. 155 s.). L'établissement de l'état de fait incombe principalement au juge matériellement compétent pour se prononcer sur la culpabilité du prévenu. Le ministère public et l'autorité de recours n'ont dès lors pas, dans le cadre d'une décision de classement d'une procédure pénale, respectivement à l'encontre d'un recours contre une telle décision, à établir l'état de fait comme le ferait le juge du fond. Des constatations de fait sont admises au stade du classement, dans le respect du principe in dubio pro duriore, soit dans la mesure où les faits sont clairs, respectivement indubitables, de sorte qu'en cas de mise en accusation ceux-ci soient très probablement constatés de la même manière par le juge du fond. Tel n'est pas le cas lorsqu'une appréciation différente par le juge du fond apparaît tout aussi vraisemblable. Le principe in dubio pro duriore interdit ainsi au ministère public, confronté à des preuves non claires, d'anticiper sur l'appréciation des preuves par le juge du fond. L'appréciation juridique des faits doit en effet être effectuée sur la base d'un état de fait établi en vertu du principe in dubio pro duriore, soit sur la base de faits clairs ( ATF 143 IV 241 consid. 2.3.2 p. 244 et les références citées). L' art. 97 al. 1 LTF est également applicable aux recours en matière pénale contre les décisions de classement ou confirmant de telles décisions. Saisi d'un tel recours, le Tribunal fédéral examine sous l'angle de l'arbitraire l'appréciation des preuves opérée par l'autorité précédente en application du principe in dubio pro duriore ( ATF 143 IV 241 consid. 2.3.3 p. 245 s.), si l'autorité précédente a arbitrairement jugé la situation probatoire claire ou a admis arbitrairement que certains faits étaient clairement établis ( ATF 143 IV 241 consid. 2.3.2 p. 244 s.; cf. encore récemment: arrêt 6B_679/2020 du 3 novembre 2020 consid. 2.1).</w:t>
      </w:r>
    </w:p>
    <w:p>
      <w:r>
        <w:rPr>
          <w:b/>
        </w:rPr>
        <w:t>E. 3.3</w:t>
      </w:r>
    </w:p>
    <w:p>
      <w:r>
        <w:t>Aux termes de l' art. 146 al. 1 CP , commet une 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w:t>
      </w:r>
    </w:p>
    <w:p>
      <w:r>
        <w:rPr>
          <w:b/>
        </w:rPr>
        <w:t>E. 3.3.1</w:t>
      </w:r>
    </w:p>
    <w:p>
      <w:r>
        <w:t>L'escroquerie consiste à tromper la dupe. Pour qu'il y ait escroquerie, une simple tromperie ne suffit cependant pas; il faut qu'elle soit astucieuse. Il y a tromperie astucieuse, au sens de l' art. 146 CP , lorsque l'auteur recourt à un édifice de mensonges, à des manoeuvres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 ATF 143 IV 302 consid. 1.3 p. 304 s.; 142 IV 153 consid. 2.2.2 p. 154 s.; 135 IV 76 consid. 5.2 p. 79 s.).</w:t>
      </w:r>
    </w:p>
    <w:p>
      <w:r>
        <w:t>L'astuce n'est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 ATF 143 IV 302 consid. 1.4 p. 306 s.; 142 IV 153 consid. 2.2.2 p. 155; 135 IV 76 consid. 5.2 p. 81).</w:t>
      </w:r>
    </w:p>
    <w:p>
      <w:r>
        <w:rPr>
          <w:b/>
        </w:rPr>
        <w:t>E. 3.3.2</w:t>
      </w:r>
    </w:p>
    <w:p>
      <w:r>
        <w:t>L'escroquerie au procès constitue un cas particulier d'escroquerie. Elle consiste à tromper astucieusement le juge aux fins de le déterminer à rendre une décision - matériellement fausse - préjudiciable au patrimoine de la partie adverse ou d'un tiers ( ATF 122 IV 197 consid. 2 p. 199 ss; arrêts 6B_510/2020 du 15 septembre 2020 consid. 3.3; 6B_751/2018 du 2 octobre 2019 consid. 1.4.3). L'escroquerie au procès tombe sous le coup de l' art. 146 CP moyennant la réalisation de l'ensemble des éléments constitutifs objectifs et subjectifs de cette disposition. La typicité se conçoit sans réelle particularité ( ATF 122 IV 197 consid. 2d p. 203; arrêt 6B_751/2018 précité consid. 1.4.3). Dans ce contexte également, l'auteur doit agir avec l'intention d'obtenir un avantage indu et cette condition n'est pas réalisée lorsqu'il a, ou croit avoir, droit au paiement du montant qu'il réclame (arrêt 6B_510/2020 du 15 septembre 2020 consid. 3.3 et les références citées).</w:t>
      </w:r>
    </w:p>
    <w:p>
      <w:r>
        <w:t>S'agissant des critères développés au sujet de l'élément d'astuce, il convient toutefois de prendre en considération les caractéristiques propres de la procédure en cause ( ATF 122 IV 197 consid. 3d p. 206; arrêt 6B_751/2018 précité, loc. cit.). Par rapport au principe de co-responsabilité de la dupe, il faut également relever que, dans le cadre d'une escroquerie au procès, ce rôle est censé être endossé, non par n'importe quel individu, mais par un juge. L'activité de ce dernier est de surcroît gouvernée par les règles de procédures applicables, raison pour laquelle il est souvent tributaire des actes procéduraux des parties. Par conséquent, la question de l'éventuelle co-responsabilité de la dupe ne doit pas s'examiner uniquement à l'aune de la diligence du juge. Elle doit, au contraire, s'apprécier en tenant compte du devoir de diligence et des obligations des parties à la procédure concernée (arrêt 6B_751/2018 précité, loc. cit. et les références citées).</w:t>
      </w:r>
    </w:p>
    <w:p>
      <w:r>
        <w:rPr>
          <w:b/>
        </w:rPr>
        <w:t>E. 3.3.3</w:t>
      </w:r>
    </w:p>
    <w:p>
      <w:r>
        <w:t>En l'espèce, il ressort de l'arrêt attaqué que la recourante a prétendu, dans sa plainte pénale, avoir découvert l'existence de la procédure qui s'est tenue devant la juridiction grecque après avoir reçu du TPI le 5 février 2019 une convocation à retirer un acte judiciaire, qui n'était autre que le jugement de la Cour d'appel d'Athènes du 28 août 2018. La recourante a néanmoins fait état, toujours dans sa plainte, de ce que, pour des raisons "difficilement compréhensible", les documents liés à la procédure introduite en Grèce par sa partie adverse, expédiés par la voie de l'entraide judiciaire, n'étaient jamais parvenus à la connaissance de "sa direction". Elle ne fournit aucune explication sur ce plan et ne prétend pas que ces derniers auraient été notifiés de manière irrégulière. En tout état, l'arrêt attaqué constate en particulier qu'un "acte de fixation d'audience" a été valablement notifié à la recourante par les autorités grecques le 1er juin 2017 et qu'elle n'a pas comparu à l'audience finale qui s'est tenue le 20 février 2018. Dans ces conditions et quoi qu'en dise la recourante, le constat selon lequel cette dernière n'a pas comparu devant la juridiction grecque, malgré les convocations qui lui ont été adressées, n'apparaît pas insoutenable. C'est donc en vain que la recourante tente de soutenir que l'objet de l'instance d'appel ne portait pas sur l'existence de la dette dans son entier. Au demeurant, la cour cantonale pouvait a contrario tenir la non comparution de la recourante devant la juridiction grecque pour clairement établie, sans qu'il y ait matière à lui reprocher d'avoir versé dans l'arbitraire.</w:t>
      </w:r>
    </w:p>
    <w:p>
      <w:r>
        <w:t>Cela étant, ce constat permettait également à la cour cantonale de considérer, sans violer le droit fédéral, que l'élément d'astuce faisait en l'espèce défaut. En effet, faute pour elle d'avoir comparu, respectivement d'avoir procédé, la recourante s'est privée de la possibilité de faire valoir directement devant le juge civil grec les arguments qu'elle développe désormais dans la procédure pénale helvétique. De même a-t-elle privé ce dernier de la possibilité d'examiner les allégués de la partie demanderesse à l'aune de ses propres arguments. Face à l'hypothèse d'une escroquerie au procès, ces éléments suffisent à exclure l'astuce sous l'angle du principe de co-responsabilité, sans qu'il y ait lieu de s'interroger plus avant sur la réalité d'une tromperie.</w:t>
      </w:r>
    </w:p>
    <w:p>
      <w:r>
        <w:rPr>
          <w:b/>
        </w:rPr>
        <w:t>E. 3.4</w:t>
      </w:r>
    </w:p>
    <w:p>
      <w:r>
        <w:t>Au vu de ce qui précède, les griefs que la recourante soulève en relation avec la qualification d'escroquerie au sens de l' art. 146 CP dont elle se prévaut s'avèrent infondés.</w:t>
      </w:r>
    </w:p>
    <w:p>
      <w:r>
        <w:rPr>
          <w:b/>
        </w:rPr>
        <w:t>E. 3.5</w:t>
      </w:r>
    </w:p>
    <w:p>
      <w:r>
        <w:t>La recourante ne développe aucune argumentation, et a fortiori aucune argumentation recevable ( art. 42 al. 2 LTF ) propre à remettre en cause la motivation par laquelle la cour cantonale a également exclu la qualification de faux dans les titres au sens de l' art. 251 CP . On peut y renvoyer ( art. 109 al. 3 LTF ).</w:t>
      </w:r>
    </w:p>
    <w:p>
      <w:r>
        <w:rPr>
          <w:b/>
        </w:rPr>
        <w:t>E. 4</w:t>
      </w:r>
    </w:p>
    <w:p>
      <w:r>
        <w:t>Les motifs précités suffisent à sceller le sort de la cause (cf. supra consid. 2), puisqu'ils permettaient à la cour cantonale de confirmer une décision de non-entrée en matière. Il n'est donc pas nécessaire d'examiner les griefs que la recourante soulève au sujet de la compétence des autorités suisses, respectivement genevoises, déniée à tort selon elle.</w:t>
      </w:r>
    </w:p>
    <w:p>
      <w:r>
        <w:rPr>
          <w:b/>
        </w:rPr>
        <w:t>E. 5</w:t>
      </w:r>
    </w:p>
    <w:p>
      <w:r>
        <w:t>Au vu de ce qui précède, le recours doit être rejeté dans la mesure où il est recevable. La recourante,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