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351/2015 vom 27. April 2015</w:t>
      </w:r>
    </w:p>
    <w:p>
      <w:r>
        <w:t>Bundesgericht, 2015-04-27, DE</w:t>
      </w:r>
    </w:p>
    <w:p>
      <w:r>
        <w:rPr>
          <w:b/>
        </w:rPr>
        <w:t xml:space="preserve">Quelle: </w:t>
      </w:r>
      <w:r>
        <w:t>https://mcp.opencaselaw.ch/entscheid/bger_6B_351_2015</w:t>
      </w:r>
    </w:p>
    <w:p>
      <w:r>
        <w:t>FR: TF 6B 351/2015 du 27 avril 2015</w:t>
      </w:r>
    </w:p>
    <w:p>
      <w:r>
        <w:t>IT: TF 6B 351/2015 del 27 aprile 2015</w:t>
      </w:r>
    </w:p>
    <w:p>
      <w:pPr>
        <w:pStyle w:val="Heading2"/>
      </w:pPr>
      <w:r>
        <w:t>Regeste</w:t>
      </w:r>
    </w:p>
    <w:p>
      <w:r>
        <w:t>Nichtanhandnahme (Amtsmissbrauch etc.) | Strafprozess</w:t>
      </w:r>
    </w:p>
    <w:p>
      <w:pPr>
        <w:pStyle w:val="Heading2"/>
      </w:pPr>
      <w:r>
        <w:t>Erwägungen</w:t>
      </w:r>
    </w:p>
    <w:p>
      <w:r>
        <w:rPr>
          <w:b/>
        </w:rPr>
        <w:t>E. 1</w:t>
      </w:r>
    </w:p>
    <w:p>
      <w:r>
        <w:t>Der Beschwerdeführer wirft dem Steueramt der Stadt Zürich vor, ihn "illegal" betrieben zu haben. Das Steueramt und Betreibungsbeamte hätten sich unter anderem des Amtsmissbrauchs, des Betrugs, der Nötigung und des Verstosses gegen die Steuergesetzgebung schuldig gemacht. Am 8. Januar 2015 nahm die Staatsanwaltschaft Zürich-Sihl die Untersuchung nicht an die Hand. Eine dagegen gerichtete Beschwerde wies das Obergericht des Kantons Zürich am 26. Februar 2015 ab. Der Beschwerdeführer wendet sich ans Bundesgericht und beantragt, der Beschluss des Obergerichts sei aufzuheben. Die Sache sei strafrechtlich zu untersuchen und allfällig strafbares Handeln der Bestrafung zuzuführen.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Die vom Beschwerdeführer gegen Mitarbeiter des Steueramtes der Stadt Zürich sowie gegen Betreibungsbeamte erhobenen strafrechtlichen Vorwürfe können allenfalls Staatshaftungsansprüche betreffen. Gegen die Mitarbeiter selber stehen ihm keine zivilrechtlichen Ansprüche zu. Er ist zur Beschwerde nicht legitimiert. Darauf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analog zum angefochtenen Entscheid (S. 6 E. V/2)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