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6B_350/2022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https://mcp.opencaselaw.ch/entscheid/bger_6B_350_2022</w:t>
      </w:r>
    </w:p>
    <w:p>
      <w:r>
        <w:t>FR: TF 6B_350/2022 du 30 juin 2022</w:t>
      </w:r>
    </w:p>
    <w:p>
      <w:r>
        <w:t>IT: TF 6B_350/2022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Zürich, Güterstrasse 33, Postfach, 8010 Zürich,</w:t>
      </w:r>
    </w:p>
    <w:p>
      <w:r>
        <w:rPr>
          <w:b/>
        </w:rPr>
        <w:t>E. 2</w:t>
      </w:r>
    </w:p>
    <w:p>
      <w:r>
        <w:t>B.________,</w:t>
      </w:r>
    </w:p>
    <w:p>
      <w:r>
        <w:t>Beschwerdegegner.</w:t>
      </w:r>
    </w:p>
    <w:p>
      <w:r>
        <w:t>Gegenstand</w:t>
      </w:r>
    </w:p>
    <w:p>
      <w:r>
        <w:t>Fahrlässige schwere Körperverletzung; Rückzug,</w:t>
      </w:r>
    </w:p>
    <w:p>
      <w:r>
        <w:t>Beschwerde gegen das Urteil des Obergerichts des Kantons Zürich, II. Strafkammer, vom 7. Dezember 2021 (SB210113-O/U/as-cs).</w:t>
      </w:r>
    </w:p>
    <w:p>
      <w:r>
        <w:t>Der Einzelrichter zieht in Erwägung:</w:t>
      </w:r>
    </w:p>
    <w:p>
      <w:r>
        <w:t>Die Beschwerde wurde mit Schreiben vom 29. Juni 2022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