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6B_350/2021 vom 20. April 2021</w:t>
      </w:r>
    </w:p>
    <w:p>
      <w:r>
        <w:t>Bundesgericht, 2021-04-20, DE</w:t>
      </w:r>
    </w:p>
    <w:p>
      <w:r>
        <w:rPr>
          <w:b/>
        </w:rPr>
        <w:t xml:space="preserve">Quelle: </w:t>
      </w:r>
      <w:r>
        <w:t>https://mcp.opencaselaw.ch/entscheid/bger_6B_350_2021</w:t>
      </w:r>
    </w:p>
    <w:p>
      <w:r>
        <w:t>FR: TF 6B_350/2021 du 20 avril 2021</w:t>
      </w:r>
    </w:p>
    <w:p>
      <w:r>
        <w:t>IT: TF 6B_350/2021 del 20 aprile 2021</w:t>
      </w:r>
    </w:p>
    <w:p>
      <w:pPr>
        <w:pStyle w:val="Heading2"/>
      </w:pPr>
      <w:r>
        <w:t>Erwägungen</w:t>
      </w:r>
    </w:p>
    <w:p>
      <w:r>
        <w:rPr>
          <w:b/>
        </w:rPr>
        <w:t>E. 1</w:t>
      </w:r>
    </w:p>
    <w:p>
      <w:r>
        <w:t>Die Staatsanwaltschaft des Kantons Bern, Region Berner Jura-Seeland verfügte am 9. November 2020, das Strafverfahren gegen zwei Privatpersonen sowie einen Polizeibeamten einzustellen. Zur Begründung führte sie aus, dass die vom Beschwerdeführer als strafrechtlich relevant erachteten Lebenssachverhalte sich bereits 2013 ereignet hätten und hinsichtlich allfälliger Delikte, soweit überhaupt ein Tatverdacht bestehe und die Lebenssachverhalte nicht schon beurteilt worden seien, die Verjährung eingetreten sei.</w:t>
      </w:r>
    </w:p>
    <w:p>
      <w:r>
        <w:t>Die vom Beschwerdeführer gegen die Einstellungsverfügung erhobene Beschwerde wies die Vorinstanz am 10. Februar 2021 ab.</w:t>
      </w:r>
    </w:p>
    <w:p>
      <w:r>
        <w:t>Der Beschwerdeführer gelangt mit Beschwerde in Strafsachen an das Bundesgericht und ersucht um unentgeltliche Rechtspflege.</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w:t>
      </w:r>
    </w:p>
    <w:p>
      <w:r>
        <w:rPr>
          <w:b/>
        </w:rPr>
        <w:t>E. 3</w:t>
      </w:r>
    </w:p>
    <w:p>
      <w:r>
        <w:t>Selbst unter Anwendung des bei Laienbeschwerden praxisgemäss grosszügigen Massstabs an die formellen Anforderungen einer Beschwerde in Strafsachen genügt die Eingabe nicht den gesetzlichen Begründungsanforderungen. Der Beschwerdeführer setzt sich mit den Erwägungen der Vorinstanz nicht sachgerecht auseinander. Er zeigt nicht auf, inwieweit die Auffassung der Vorinstanz, allfällig begangene Straftaten der angezeigten Personen seien verjährt, rechtsfehlerhaft sein soll. Dies ist auch nicht ersichtlich.</w:t>
      </w:r>
    </w:p>
    <w:p>
      <w:r>
        <w:t>Zudem äussert sich der Beschwerdeführer nicht zu seiner Beschwerdelegitimation und allfälligen Zivilforderungen. Allfällige zivilrechtliche Schadenersatz- und Genugtuungsansprüche des Beschwerdeführers sind aufgrund der angezeigten Lebenssachverhalte auch nicht (ohne Weiteres) ersichtlich. Schadenersatz- und Genugtuungsansprüche infolge eines allfälligen strafbaren Verhaltens des angezeigten Polizeibeamten würden sich nach dem Personalgesetz des Kantons Bern vom 16. September 2004 richten (PG/BE; BSG 153.01) und wären damit öffentlich-rechtlicher Natur.</w:t>
      </w:r>
    </w:p>
    <w:p>
      <w:r>
        <w:rPr>
          <w:b/>
        </w:rPr>
        <w:t>E. 4</w:t>
      </w:r>
    </w:p>
    <w:p>
      <w:r>
        <w:t>Auf die Beschwerde ist im Verfahren gemäss Art. 108 BGG nicht einzutreten. Das Gesuch um unentgeltliche Rechtspflege ist wegen Aussichtslosigkeit der Rechtsbegehren abzuweisen ( Art. 64 Abs. 1 BGG ).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