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6B_347/2015 vom 9. September 2015</w:t>
      </w:r>
    </w:p>
    <w:p>
      <w:r>
        <w:t>Bundesgericht, 2015-09-09, DE</w:t>
      </w:r>
    </w:p>
    <w:p>
      <w:r>
        <w:rPr>
          <w:b/>
        </w:rPr>
        <w:t xml:space="preserve">Quelle: </w:t>
      </w:r>
      <w:r>
        <w:t>https://mcp.opencaselaw.ch/entscheid/bger_6B_347_2015</w:t>
      </w:r>
    </w:p>
    <w:p>
      <w:r>
        <w:t>FR: TF 6B_347/2015 du 9 septembre 2015</w:t>
      </w:r>
    </w:p>
    <w:p>
      <w:r>
        <w:t>IT: TF 6B_347/2015 del 9 settembre 2015</w:t>
      </w:r>
    </w:p>
    <w:p>
      <w:pPr>
        <w:pStyle w:val="Heading2"/>
      </w:pPr>
      <w:r>
        <w:t>Erwägungen</w:t>
      </w:r>
    </w:p>
    <w:p>
      <w:r>
        <w:rPr>
          <w:b/>
        </w:rPr>
        <w:t>E. 1.1</w:t>
      </w:r>
    </w:p>
    <w:p>
      <w:r>
        <w:t>Die Vorinstanz verweigerte dem Beschwerdeführer die unentgeltliche Rechtspflege mit der Begründung, Letzterer habe keine Zivilansprüche geltend gemacht. Der Beschwerdeführer rügt, dies sei aktenwidrig. Er habe eine Genugtuung von Fr. 500.-- verlangt.</w:t>
      </w:r>
    </w:p>
    <w:p>
      <w:r>
        <w:t>Die Staatsanwaltschaft bringt in ihrer Vernehmlassung vor, die vom Beschwerdeführer adhäsionsweise geltend gemachte Zivilforderung sei aussichtslos gewesen. Zudem könne der geschädigten Person in der Regel zugemutet werden, privatrechtliche Ansprüche selbständig geltend zu machen.</w:t>
      </w:r>
    </w:p>
    <w:p>
      <w:r>
        <w:rPr>
          <w:b/>
        </w:rPr>
        <w:t>E. 1.2</w:t>
      </w:r>
    </w:p>
    <w:p>
      <w:r>
        <w:t>Nach Art. 136 Abs. 1 StPO gewährt die Verfahrensleitung der Privatklägerschaft für die Durchsetzung ihrer Zivilansprüche ganz oder teilweise die unentgeltliche Rechtspflege, wenn diese nicht über die erforderlichen Mittel verfügt (lit. a) und die Zivilklage nicht aussichtslos erscheint (lit. b).</w:t>
      </w:r>
    </w:p>
    <w:p>
      <w:r>
        <w:t>Der Beschwerdeführer machte bereits im Verfahren vor der Staatsanwaltschaft eine Genugtuung von Fr. 500.-- geltend (Akten Staatsanwaltschaft, Faszikel "Geschädigtenvertretung", Schreiben vom 23. April 2014). Die Vorinstanz durfte daher das Gesuch um unentgeltliche Rechtspflege nicht mit der Begründung ablehnen, dieses diene nicht der Durchsetzung von Zivilansprüchen. Die Rüge ist begründet.</w:t>
      </w:r>
    </w:p>
    <w:p>
      <w:r>
        <w:rPr>
          <w:b/>
        </w:rPr>
        <w:t>E. 2.1</w:t>
      </w:r>
    </w:p>
    <w:p>
      <w:r>
        <w:t>Der angefochtene Entscheid ist aufzuheben und die Sache zu neuer Entscheidung an die Vorinstanz zurückzuweisen. Diese wird zu bestimmen haben, ob die weiteren Voraussetzungen für die Gewährung der unentgeltlichen Rechtspflege erfüllt sind.</w:t>
      </w:r>
    </w:p>
    <w:p>
      <w:r>
        <w:rPr>
          <w:b/>
        </w:rPr>
        <w:t>E. 2.2</w:t>
      </w:r>
    </w:p>
    <w:p>
      <w:r>
        <w:t>Für das bundesgerichtliche Verfahren sind keine Kosten zu erheben ( Art. 66 Abs. 1 und 4 BGG ). Der Kanton Schaffhausen hat dem Beschwerdeführer eine angemessene Parteientschädigung auszurichten ( Art. 68 Abs. 2 BGG ). Diese ist praxisgemäss dem Rechtsvertreter zu bezahlen. Das Gesuch des Beschwerdeführers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