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347/2007 vom 29. November 2007</w:t>
      </w:r>
    </w:p>
    <w:p>
      <w:r>
        <w:t>Bundesgericht, 2007-11-29, DE</w:t>
      </w:r>
    </w:p>
    <w:p>
      <w:r>
        <w:rPr>
          <w:b/>
        </w:rPr>
        <w:t xml:space="preserve">Quelle: </w:t>
      </w:r>
      <w:r>
        <w:t>https://mcp.opencaselaw.ch/entscheid/bger_6B_347_2007</w:t>
      </w:r>
    </w:p>
    <w:p>
      <w:r>
        <w:t>FR: TF 6B 347/2007 du 29 novembre 2007</w:t>
      </w:r>
    </w:p>
    <w:p>
      <w:r>
        <w:t>IT: TF 6B 347/2007 del 29 novembre 2007</w:t>
      </w:r>
    </w:p>
    <w:p>
      <w:pPr>
        <w:pStyle w:val="Heading2"/>
      </w:pPr>
      <w:r>
        <w:t>Regeste</w:t>
      </w:r>
    </w:p>
    <w:p>
      <w:r>
        <w:t>Mehrfacher versuchter Mord; Verwahrung; ambulante Massnahme | Straftaten</w:t>
      </w:r>
    </w:p>
    <w:p>
      <w:pPr>
        <w:pStyle w:val="Heading2"/>
      </w:pPr>
      <w:r>
        <w:t>Erwägungen</w:t>
      </w:r>
    </w:p>
    <w:p>
      <w:r>
        <w:rPr>
          <w:b/>
        </w:rPr>
        <w:t>E. 1</w:t>
      </w:r>
    </w:p>
    <w:p>
      <w:r>
        <w:t>Am 1. Januar 2007 ist das Bundesgesetz vom 17. Juni 2005 über das Bundesgericht (Bundesgerichtsgesetz [BGG], SR 173.110) in Kraft getreten (AS 2006, 1242). Die angefochtene Entscheidung ist nach diesem Datum ergangen. Die gegen diese gerichtete Beschwerde untersteht daher dem neuen Verfahrensrecht ( Art. 132 Abs. 1 BGG ). Die Beschwerde richtet sich gegen einen von einer letzten kantonalen Instanz ( Art. 80 Abs. 1 BGG ) gefällten Endentscheid ( Art. 90 BGG ) in Strafsachen ( Art. 78 Abs. 1 BGG ). Sie ist von der Staatsanwaltschaft (Art. 81 Abs. 1 lit. b Ziff. 3 BGG) unter Einhaltung der gesetzlichen Frist ( Art. 100 Abs. 1 BGG ) erhoben worden. Auf die Beschwerde kann daher grundsätzlich eingetreten werden. Die Beschwerde an das Bundesgericht kann wegen Rechtsverletzungen im Sinne der Art. 95 und 96 BGG geführt werden. Das Bundesgericht wendet das Recht von Amtes wegen an ( Art. 106 Abs. 1 BGG ). Es ist weder an die in der Beschwerde vorgetragene Begründung der Rechtsbegehren noch an die Erwägungen der Vorinstanz gebunden. Es kann eine Beschwerde mithin auch aus einem anderen als dem angerufenen Grund gutheissen, und es kann eine Beschwerde mit einer von den rechtlichen Überlegungen der Vorinstanz abweichenden Begründung abweisen (vgl. BGE 130 III 136 , E. 1.4 S. 140). Das Bundesgericht darf indes nicht über die Begehren der Parteien hinausgehen ( Art. 107 Abs. 1 BGG ). Neue Begehren sind unzulässig ( Art. 99 Abs. 2 BGG ). Neue Tatsachen und Beweismittel dürfen nur soweit vorgebracht werden, als der Entscheid der Vorinstanz dazu Anlass gibt ( Art. 99 Abs. 1 BGG ). Gemäss Art. 42 Abs. 1 und Abs. 2 BGG ist die Beschwerde hinreichend zu begründen, andernfalls wird darauf nicht eingetreten ( Art. 108 Abs. 1 lit. b BGG ). Das Bundesgericht prüft grundsätzlich nur die geltend gemachten Rügen. Es ist nicht gehalten, wie eine erstinstanzliche Behörde alle sich stellenden rechtlichen Fragen zu prüfen, wenn diese vor Bundesgericht nicht mehr vorgetragen werden. Verletzungen von Grundrechten und von kantonalem und interkantonalem Recht kann es nur insofern prüfen, als eine solche Rüge in der Beschwerde präzise vorgebracht und begründet worden ist ( Art. 106 Abs. 2 BGG ). Das Bundesgericht legt seinem Urteil den Sachverhalt zugrunde, den die Vorinstanz festgestellt hat ( Art. 105 Abs. 1 BGG ). Die Feststellung des Sachverhalts durch die Vorinstanz kann nur gerügt werden, wenn sie offensichtlich unrichtig ist oder auf einer Verletzung von schweizerischem Recht im Sinne von Art. 95 BGG beruht und wenn die Behebung des Mangels für den Ausgang des Verfahrens von entscheidender Bedeutung sein kann ( Art. 97 Abs. 1 BGG ; vgl. auch Art. 105 Abs. 2 BGG ).</w:t>
      </w:r>
    </w:p>
    <w:p>
      <w:r>
        <w:rPr>
          <w:b/>
        </w:rPr>
        <w:t>E. 2.1</w:t>
      </w:r>
    </w:p>
    <w:p>
      <w:r>
        <w:t>Die Beschwerde richtet sich zunächst gegen die im Hinblick auf das völkerrechtliche Rückwirkungsverbot unterlassene Prüfung der Voraussetzungen einer Verwahrung nach Art. 64 Abs. 1 StGB durch die Vorinstanz. Im Einzelnen bringt die Beschwerdeführerin in dieser Hinsicht vor, die Auffassung der Vorinstanz, wonach der Anordnung einer Verwahrung nach Art. 64 Abs. 1 StGB das Rückwirkungsverbot entgegen stehe, verletze Bundesrecht. Im Rahmen der Anordnung sichernder Massnahmen seien nach der Rechtsprechung allein Gesichtspunkte der Zweckmässigkeit massgebend. Nach dem klaren und eindeutigen Wortlaut der Schlussbestimmungen der Änderung vom 13. Dezember 2002 sei für die Anordnung einer Verwahrung auch bei denjenigen Tätern das neue Recht anwendbar, welche vor dem 1. Januar 2007 straffällig geworden seien und erst nach Inkrafttreten des neuen Rechts beurteilt würden.</w:t>
      </w:r>
    </w:p>
    <w:p>
      <w:r>
        <w:rPr>
          <w:b/>
        </w:rPr>
        <w:t>E. 2.2</w:t>
      </w:r>
    </w:p>
    <w:p>
      <w:r>
        <w:t>Die Vorinstanz nimmt an, die Anordnung der Verwahrung gegenüber Tätern, die vor Inkrafttreten des revidierten StGB delinquiert hätten, sei nur zulässig, wenn die Verwahrung im Zeitpunkt der Tatbegehung möglich gewesen wäre, d.h. wenn die Voraussetzungen der Art. 42 oder 43 aStGB erfüllt gewesen seien. Sie stellt sich aber auf den Standpunkt, wenn nicht das Rückwirkungsverbot entgegenstünde, müsste eine Verwahrung nach Art. 64 Abs. 1 StGB ernsthaft in Erwägung gezogen werden. Bei der Prüfung der Anordnung der Verwahrung gemäss Art. 43 Ziff. 1 Abs. 2 aStGB gelangt die Vorinstanz gestützt auf das Gutachten der Psychiatrischen Universitätsklinik Zürich vom 21. Juni 2006 zum Schluss, dem Beschwerdegegner wohne eine gewisse Gefährlichkeit inne. Es könne aber nicht gesagt werden, dass es sich bei ihm um einen hoch gefährlichen Täter handle, der keiner Behandlung zugänglich sei. Auch wenn letztlich ein deutlich erhöhtes Rückfallrisiko anzunehmen sei, rechtfertige sich die Verwahrung des Beschwerdegegners als Ersttäter nicht.</w:t>
      </w:r>
    </w:p>
    <w:p>
      <w:r>
        <w:rPr>
          <w:b/>
        </w:rPr>
        <w:t>E. 3.1</w:t>
      </w:r>
    </w:p>
    <w:p>
      <w:r>
        <w:t>Am 1. Januar 2007 sind der revidierte Allgemeine Teil des Strafgesetzbuches (erstes Buch) und die revidierten Bestimmungen über die Einführung und Anwendung des Gesetzes (drittes Buch) vom 13. Dezember 2002 bzw. vom 24. März 2006 in Kraft getreten. Nach dem Grundsatz von Art. 2 Abs. 1 StGB wird nach dem Strafgesetzbuch beurteilt, wer nach dessen Inkrafttreten ein Verbrechen oder Vergehen begangen hat. Gemäss Abs. 2 derselben Bestimmung gelangt, wenn der Täter vor Inkrafttreten des Gesetzes ein Verbrechen oder Vergehen begangen hat, das neue Recht zur Anwendung, wenn es für den Täter das mildere ist. Erweisen sich die Regelungen des alten und des neuen Rechts für den konkreten Täter als gleichwertig, findet nach dieser gesetzlichen Ordnung somit weiterhin das alte Recht Anwendung. Von dieser allgemeinen Bestimmung über den zeitlichen Geltungsbereich des Gesetzes schafft Ziff. 2 Abs. 1 der Schlussbestimmungen der Änderung vom 13. Dezember 2002 für die aktuelle Revision des Allgemeinen Teils in Bezug auf das Massnahmenrecht eine spezielle Regelung. Danach sind die neuen Bestimmungen von Art. 56 - 65 und Art. 90 StGB auch auf diejenigen Täter anwendbar, die vor deren Inkrafttreten eine Tat begangen haben oder beurteilt worden sind. Die Bestimmung sieht somit die rückwirkende Anwendung des neuen Massnahmenrechts sowohl für verurteilte wie auch für noch nicht beurteilte Täter vor. Die nachträgliche Anordnung der Verwahrung nach Art. 65 Abs. 2 StGB ist demgegenüber nach lit. a derselben Bestimmung nur zulässig, wenn die Verwahrung auch gestützt auf Art. 42 oder 43 Ziff. 1 Abs. 2 des bisherigen Rechts möglich gewesen wäre.</w:t>
      </w:r>
    </w:p>
    <w:p>
      <w:r>
        <w:rPr>
          <w:b/>
        </w:rPr>
        <w:t>E. 3.2</w:t>
      </w:r>
    </w:p>
    <w:p>
      <w:r>
        <w:t>Die rückwirkende Anwendung des neuen Massnahmenrechts auf noch nicht beurteilte Straftäter steht in einem Spannungsverhältnis zum Grundsatz nulla poena sine lege gemäss Art. 7 Ziff. 1 EMRK und Art. 15 Abs. 1 des Internationalen Pakts über bürgerliche und politische Rechte (IPBPR; SR 0.103.2). Nach diesen Bestimmungen darf niemand wegen einer Handlung oder Unterlassung verurteilt werden, die zur Zeit ihrer Begehung nach innerstaatlichem oder internationalem Recht nicht strafbar war. Darüber hinaus verbietet der Grundsatz auch die Verhängung einer höheren bzw. schwereren als zur Zeit der Begehung der strafbaren Handlung angedrohten Strafe. Art. 15 Abs. 1 IPBPR sieht zudem vor, dass das mildere Gesetz anzuwenden ist, wenn nach Begehung einer strafbaren Handlung durch das Gesetz eine mildere Strafe eingeführt wird. Die Bestimmungen von Art. 7 Ziff. 1 EMRK und Art. 15 Abs. 1 IPBPR schliessen die Anwendung des neuen Rechts somit nicht aus, wenn es sich nicht strenger als das alte Recht auswirkt.</w:t>
      </w:r>
    </w:p>
    <w:p>
      <w:r>
        <w:rPr>
          <w:b/>
        </w:rPr>
        <w:t>E. 3.3</w:t>
      </w:r>
    </w:p>
    <w:p>
      <w:r>
        <w:t>Der autonom auszulegende Begriff der Strafe im Sinne von Art. 7 Ziff. 1 EMRK knüpft an eine strafrechtliche Verurteilung an. Der Begriff erfasst alle Verurteilungen, welche im Sinne von Art. 6 Ziff. 1 EMRK gestützt auf eine gegen eine Person erhobene strafrechtliche Anklage entschieden wurden. Von Bedeutung sind ferner ihre Qualifikation im internen Recht, das Verfahren, in dem sie verhängt und vollstreckt wird, sowie ihre Schwere (Villiger, Handbuch der Europäischen Menschenrechtskonvention [EMRK], 2. Aufl. Zürich 1999, N 534; Haefliger/Schürmann, Die Europäische Menschenrechtskonvention und die Schweiz, 2. Aufl. 1999, S. 246 f.; vgl. Botschaft vom 29. Juni 2005 zur Änderung des Strafgesetzbuches in der Fassung vom 13. Dezember 2002 und des Militärstrafgesetzes in der Fassung vom 21. März 2003 [Botschaft 2005], S. 4716; ferner Nowak, CCPR Commentary, 2. Aufl., Kehl etc., Art. 15 N 13 ). Nachfolgend ist zu prüfen, ob dieser Begriff der Strafe auch die Sicherungsmassnahme der Verwahrung umfasst, d.h. ob das völkerrechtliche Rückwirkungsverbot auch für die Anordnung der Verwahrung gilt.</w:t>
      </w:r>
    </w:p>
    <w:p>
      <w:r>
        <w:rPr>
          <w:b/>
        </w:rPr>
        <w:t>E. 3.3.1</w:t>
      </w:r>
    </w:p>
    <w:p>
      <w:r>
        <w:t>Nach dem bundesrätlichen Entwurf vom 21. September 1998 ist das Rückwirkungsverbot in aller Regel für alle freiheitsentziehenden und -beschränkenden Massnahmen bestimmend. Er setzt voraus, dass der Gesetzgeber, wenn durch ein Gesetz eine Massnahme eingeführt, geändert oder aufgehoben wird, selber die erforderlichen Übergangsbestimmungen vorsieht (Botschaft zur Änderung des Schweizerischen Strafgesetzbuches [Allgemeine Bestimmungen, Einführung und Anwendung des Gesetzes] und des Militärstrafgesetzes sowie zu einem Bundesgesetz über das Jugendstrafrecht vom 21. September 1998, BBl 1999 [Botschaft 1998], S. 1991). Nach der Regelung des bundesrätlichen Entwurfs sollen die Bestimmungen über die Massnahmen und den Massnahmenvollzug auch auf diejenigen Täter anwendbar sein, die vor deren Inkrafttreten eine Tat begangen haben oder beurteilt worden sind (Art. 396 Abs. 1 E-StGB). In Bezug auf die Verwahrung führt die Botschaft als Grund hiefür an, diese habe in erster Linie den Schutz der Gesellschaft vor gefährlichen Personen zum Ziel. Obwohl sie eine neue Massnahme darstelle, welche die Freiheit des Betroffenen einschränke, werde sie aus Gründen der öffentlichen Sicherheit sofort angewendet. Das Interesse der Gesellschaft, sich vor gefährlichen Personen zu schützen, wiege schwerer als dasjenige des Täters (Botschaft 1998 S. 2187 f.). Der nachgebesserte bundesrätliche Entwurf vom 29. Juni 2005 formuliert die im ersten Entwurf vorgesehene Bestimmung über die Anwendung des neuen Rechts auf Massnahmen als besondere Übergangsbestimmung (Ziff. 2 Abs. 1). Die Botschaft 2005 äussert sich zur rückwirkenden Anwendung des neuen Massnahmenrechts explizit nur im Zusammenhang mit der neu in den Entwurf aufgenommenen Bestimmung von Art. 65 Abs. 2 StGB über die nachträgliche Verwahrung. Sie führt hiezu aus, die rückwirkende Anwendung der Bestimmung von Art. 65 Abs. 2 StGB auf Täter, die vor deren Inkrafttreten delinquiert hätten oder verurteilt worden seien, sei im Vernehmlassungsverfahren besonders kritisiert worden und sei auch in der Arbeitsgruppe Verwahrung teilweise umstritten gewesen. Aus völkerrechtlicher Sicht unterliege die rückwirkende Anwendung des neuen Art. 65 Abs. 2 StGB gewissen Einschränkungen. Es bestehe die hohe Wahrscheinlichkeit, dass der Europäische Gerichtshof für Menschenrechte die Verwahrung als Strafe qualifiziere. Die nachträgliche Anordnung der Verwahrung gegenüber Tätern, die vor Inkrafttreten des revidierten StGB delinquierten, sei daher nur zulässig, wenn die Verwahrung dieser Täter im Zeitpunkt der Tatbegehung möglich gewesen wäre (Botschaft 2005, BBl 2005, S. 4715 f.).</w:t>
      </w:r>
    </w:p>
    <w:p>
      <w:r>
        <w:rPr>
          <w:b/>
        </w:rPr>
        <w:t>E. 3.3.2</w:t>
      </w:r>
    </w:p>
    <w:p>
      <w:r>
        <w:t>Das Bundesgericht hat es in seiner früheren, vor der Ratifikation der EMRK ergangenen Rechtsprechung abgelehnt, das Rückwirkungsverbot und damit - im Rahmen der Anwendung des StGB - die Frage der lex mitior auf sichernde oder erzieherische Massnahmen zu erstrecken ( BGE 97 I 919 E. 1 a und b; 68 IV 36 , E. a, S. 37 f. [zu Massnahmen gegenüber Minderjährigen]). Es hat sich auf den Standpunkt gestellt, Massnahmen seien nicht streng oder mild, sondern nur mehr oder weniger zweckmässig. Es sei daher das im Zeitpunkt der Verurteilung geltende Recht anzuwenden, für welches die Vermutung grösserer Zweckmässigkeit spreche (vgl. auch Hafter, Lehrbuch des Schweizerischen Strafrechts, Allg. Teil, 2. Aufl. Bern 1946, S. 46; Logoz, Commentaire code pénal suisse, Partie générale, 2. Aufl., Neuchâtel/Paris 1976, Art. 2 N 8 ). In diesem Sinne hat sich auch das deutsche Bundesverfassungsgericht in Bezug auf die Sicherungsverwahrung geäussert. In seiner Entscheidung vom 5. Februar 2004 (BvR 2029/1; EuGRZ 2004, S. 73, 82 ff.) hat es erkannt, die Sicherungsverwahrung diene im Gegensatz zur Strafe nicht dem Zweck, begangenes Unrecht zu sühnen bzw. ein schuldausgleichendes Übel zu verhängen, sondern dazu, die Allgemeinheit vor dem Täter zu schützen. Sie sei daher kein Bestrafen im Sinne des Rückwirkungsverbots gemäss Art. 103 Abs. 2 des Grundgesetzes (GG), sondern ein reines Sicherungsinstrument (N 149). Das Bundesverfassungsgericht erachtete daher den Wegfall der Höchstfrist für eine erstmalig angeordnete Sicherungsverwahrung und die Anwendbarkeit auf Straftäter, bei denen die Sicherungsverwahrung vor Inkrafttreten der Gesetzesrevision angeordnet worden war, als verfassungskonform (N 127 ff.; vgl. auch Gollwitzer, in Löwe-Rosenberg, Die Strafprozessordnung und das Gerichtsverfassungsgesetz, 25. Aufl., 8. Band, MRK Art. 7/Art. 15 IPBPR N 12). Diese Rechtsprechung wird im Schrifttum mehrheitlich abgelehnt. Im Wesentlichen wird dagegen vorgebracht, auch Massnahmen wirkten sich für den Betroffenen mehr oder weniger hart aus und Strafen hätten sich ebenfalls an Gesichtspunkten der Zweckmässigkeit zu orientieren. So bestehe etwa kein sachlicher Grund, die Verlängerung der Maximaldauer der Massnahme für junge Erwachsene auf sechs Jahre ( Art. 61 StGB ) anders zu behandeln als die Erhöhung der Höchststrafe für ein bestimmtes Delikt. Das Rückwirkungsverbot soll nach dieser Auffassung auch auf Massnahmen angewendet werden (Riklin, Revision des Allgemeinen Teils des Strafgesetzbuches: Fragen des Übergangsrechts, AJP 2006, 1475; Stratenwerth, Schweizerisches Strafrecht, Allg. Teil I, 3. Aufl., Bern 2005, § 4 N 13 ; Hurtado Pozo, Droit pénal, Partie Générale I, 2. Aufl. Zürich 1997, N 515; Trechsel/Noll, Schweizerisches Strafrecht, Allg. Teil I, 6. Aufl. Zürich 2004, S. 56; Mingard, L'internement, in: La nouvelle partie générale du Code pénal suisse, S. 310; Popp, Basler Kommentar, Strafrecht I, 2. Aufl., Basel 2007, Art. 2 N 12 ; Trechsel, Schweizerisches Strafgesetzbuch, Kurzkommentar, 2. Aufl. Zürich 1997, Art. 2 N 12 ; Donatsch/Tag, Strafrecht I, 8. Aufl., 2006, S. 44; Schultz, Einführung in den Allgemeinen Teil des Strafrechts, Bd. 1, 4. Aufl. Bern 1982, S. 99; vgl. auch schon von Overbeck, Die zeitliche Geltung des Schweizerischen Strafgesetzbuches und die Behandlung der Übergangsfälle, ZStrR 1942, S. 362 [zu Art. 42 aStGB]; Thormann/von Overbeck, Schweizerisches Strafgesetzbuch, Allg. Teil, Art. 2 N 16 ).</w:t>
      </w:r>
    </w:p>
    <w:p>
      <w:r>
        <w:rPr>
          <w:b/>
        </w:rPr>
        <w:t>E. 3.3.3</w:t>
      </w:r>
    </w:p>
    <w:p>
      <w:r>
        <w:t>Der Auffassung der Lehre ist jedenfalls hinsichtlich der Verwahrung beizutreten. Die Geltung des Rückwirkungsverbots beschränkt sich entgegen der Auffassung der Botschaft 2005 nicht nur auf die nachträgliche Anordnung der Verwahrung gemäss Art. 65 Abs. 2 StGB , sondern erstreckt sich ganz generell auf die Anordnung der Verwahrung gemäss Art. 64 StGB überhaupt. Wohl mag zutreffen, dass die Strafe an einer schuldhaft begangenen Tat anknüpft, die Verwahrung aber an der Gefährlichkeit des Täters, die sich in der Tat manifestiert hat. Doch lässt sich diese Trennung zwischen Strafen und Massnahmen in der Praxis nicht klar durchhalten. So kann auch eine Massnahme nur als kriminalrechtliche Sanktion aus Anlass einer Straftat verhängt werden. Als solche greift sie teilweise aber tiefer in die Persönlichkeitsrechte ein als die Strafe. Namentlich die Verwahrung weist "mit dem Strafübel grosse Ähnlichkeit" auf (so schon Thormann/von Overbeck, a.a.O., Art. 2 N 16 ). Strafe und Verwahrung unterscheiden sich denn auch im Vollzug weitgehend nicht. Ausserdem ist der präventive Charakter der Sanktion nicht auf Massnahmen beschränkt, sondern ist auch bei Strafen von Bedeutung (vgl. Art. 75 Abs. 1 StGB ). Der Zweck der Strafe erschöpft sich denn auch keineswegs bloss im Schuldausgleich. Denn das Strafrecht dient in erster Linie nicht der "Vergeltung", sondern der Verbrechensverhütung (BGE 6B_103/2007 vom 12.11.2007 E. 5.4.1; 129 IV 161 E. 4.2 S. 164, mit Hinweisen). Ausserdem geht nach neuem Recht der Vollzug der Freiheitsstrafe der Verwahrung voraus ( Art. 64 Abs. 2 StGB ), so dass in dieser Beziehung Schuldausgleich und spezialpräventiver Charakter der Massnahme nicht getrennt werden, sondern neben- bzw. nacheinander bestehen. Schliesslich umfasst nach der neuen Fassung des Gesetzes der in Art. 1 StGB festgeschriebene Grundsatz nulla poena sine lege nunmehr ausdrücklich auch sämtliche Massnahmen. Er bezieht sich mithin auf alle staatlichen Zwangsmassnahmen mit Sanktionscharakter, die aus Anlass einer Straftat ausgesprochen werden können und die vor Begehung der Straftat nicht vorhersehbar waren (Stratenwerth, a.a.O., § 4 N 8 ; vgl. auch Roxin, Strafrecht Allgemeiner Teil, Bd. I, 4. Aufl. München 2006 § 5 N 56 ). Das Rückwirkungsverbot erlangt somit auch für die Verwahrung Gültigkeit. Die Anwendung des neuen Rechts auf Täter, die vor dessen Inkrafttreten delinquiert haben, ist mithin nur zulässig, wenn es nicht strenger ist (vgl. Riklin, a.a.O., S. 1476; Moreillon, De l'ancien au nouveau droit des sanctions: Quelle lex mitior, in: Kuhn et al., Droit des sanctions, Bern 2004, S. 304 f.; Heer, Basler Kommentar, Strafrecht II, 2. Aufl. 2007, Schlussbestimmungen, N 5). Wo einzelne Instrumente des neuen Massnahmenrechts stärker in die Grundrechtspositionen des Betroffenen eingreifen als das alte Recht, verletzt die rückwirkende Anwendung des neuen Verwahrungsrechts somit das Rückwirkungsverbot gemäss Art. 7 Abs. 1 EMRK und Art. 15 Abs. 1 UNO-Pakt II (Schwarzenegger/Hug/Jositsch, Strafrecht II, 8 Aufl., Zürich 2007, S. 319 f.). Es ist daher in jedem Fall zu prüfen, ob das neue Recht für den Täter zu einer ungünstigeren Lösung führt. Die gleichzeitige Anwendung von altem und neuem Recht auf ein und dieselbe Tat ist ausgeschlossen ( BGE 126 IV 5 E. 2c; 119 IV 145 E. 2c).</w:t>
      </w:r>
    </w:p>
    <w:p>
      <w:r>
        <w:rPr>
          <w:b/>
        </w:rPr>
        <w:t>E. 3.4</w:t>
      </w:r>
    </w:p>
    <w:p>
      <w:r>
        <w:t>Die Vorinstanz hat im zu beurteilenden Fall nicht geprüft, ob die Bestimmungen des neuen Rechts gegenüber dem früheren Recht strenger sind. Sie geht stillschweigend davon aus, das alte Recht sei das mildere und beurteilt die Voraussetzungen der Verwahrung ausschliesslich nach Art. 43 Ziff. 1 Abs. 2 aStGB. Ob die Voraussetzung von Art. 64 Abs. 1 StGB erfüllt sind, prüft sie nicht. Sie führt aber aus, würden das Rückwirkungsverbot und der Grundsatz der lex mitior nicht entgegen stehen, müsste ernsthaft eine Verwahrung nach Art. 64 Abs. 1 StGB in Erwägung gezogen werden. Im Folgenden ist zu prüfen, ob sich das neue Recht für den Betroffenen als ungünstiger erweist.</w:t>
      </w:r>
    </w:p>
    <w:p>
      <w:r>
        <w:rPr>
          <w:b/>
        </w:rPr>
        <w:t>E. 3.4.1</w:t>
      </w:r>
    </w:p>
    <w:p>
      <w:r>
        <w:t>Die Voraussetzungen für die Anordnung der Verwahrung scheinen nach neuem Recht nicht strenger als das alte Recht. Dies ergibt sich daraus, dass Art. 64 Abs. 1 StGB die Verwahrung nurmehr für schwere Sexual- und Gewaltdelikte vorsieht, während nach Art. 43 Ziff. 1 Abs. 2 aStGB die Verwahrung bei sämtlichen Vergehen oder Verbrechen angeordnet werden konnte (HEER, a.a.O., Schlussbestimmungen Ziff. 2 N 20). Für den Beschwerdegegner wirkt sich dies im konkreten Fall nicht aus, da die von ihm verübte Straftat unter die in Art. 64 Abs. 1 StGB aufgeführten Anlasstaten fällt.</w:t>
      </w:r>
    </w:p>
    <w:p>
      <w:r>
        <w:rPr>
          <w:b/>
        </w:rPr>
        <w:t>E. 3.4.2</w:t>
      </w:r>
    </w:p>
    <w:p>
      <w:r>
        <w:t>Nach neuem Recht setzt die Verwahrung bei psychisch gestörten Tätern gemäss Art. 64 Abs. 1 lit. b StGB sodann Behandlungsunfähigkeit bzw. Unbehandelbarkeit voraus (HEER, a.a.O., Art. 56 N 33 und Art. 64 N 87 /107; Schwarzenegger/Hug/Jositsch, a.a.O., S. 189 f.; vgl. auch Art. 59 Abs. 3 StGB ). Die Verwahrung von psychisch gestörten Tätern, bei denen längerfristig Heilungschancen bestehen, von denen aber kurz- oder mittelfristig im Vollzug oder ausserhalb der Anstalt eine erhebliche Gefahr ausgeht, ist somit - anders als unter der Geltung des früheren Rechts ( BGE 127 IV 1 E. 2a; 125 IV 118 E. 5b/bb; 121 IV 297 E. 2b; 118 IV 108 E. 2a, je mit Hinweisen) - nicht mehr möglich. Für diese Tätergruppe erweist sich das neue Recht somit ebenfalls nicht als strenger. Für den Beschwerdegegner bleibt indes auch dies ohne Bedeutung. Denn nach den Ausführungen des psychiatrischen Gutachtens ist die bei ihm diagnostizierte kombinierte Persönlichkeitsstörung mit schizoiden, dissozialen und emotional instabilen Zügen nach dem gegenwärtigen Stand der psychiatrischen und psychotherapeutischen Verfahren nur äusserst schwer erfolgreich zu behandeln. Dies gelte umso mehr, als der Beschwerdegegner keine Therapiebereitschaft und keine Bereitschaft zeige, sich ernsthaft mit der eigenen Störung auseinander zu setzen, sich nicht aktiv um eine Therapiemöglichkeit bemüht, nichts zeige, was eine vertrauensvolle Bindung an einen Therapeuten oder an sonstige Bezugspersonen möglich erscheinen liesse, und auch keine Bereitschaft beweise, sich intensiv mit seiner Tat und seiner eigenen psychischen Problematik und seiner Lebensproblematik oder gar mit der Situation des Opfers auseinander zu setzen. Die fehlende affektive Erreichbarkeit des Beschwerdegegners, seine Affektarmut, die defizitären Momente seiner Persönlichkeitsentwicklung und die Erfahrung, in einer im Grunde missgünstig gestimmten, feindseligen Welt überleben zu müssen, erlaubten es nicht, eine irgendwie Erfolg versprechende Behandlung im Sinne einer Massnahme vorzuschlagen (Untersuchungsakten HD act. 28/7 S. 42, 52 f.). Der Beschwerdegegner erscheint daher als nicht behandlungsfähig, so dass auch nach neuem Recht die Anordnung einer Verwahrung möglich wäre.</w:t>
      </w:r>
    </w:p>
    <w:p>
      <w:r>
        <w:rPr>
          <w:b/>
        </w:rPr>
        <w:t>E. 3.4.3</w:t>
      </w:r>
    </w:p>
    <w:p>
      <w:r>
        <w:t>Neu formuliert werden im neuen Recht die Voraussetzungen für die Entlassung aus der Verwahrung. Nach geltendem Recht wird der Täter aus der Verwahrung bedingt entlassen, sobald zu erwarten ist, dass er sich in Freiheit bewährt ( Art. 64a Abs. 1 StGB ). Erforderlich ist mithin eine günstige Prognose in Bezug auf das künftige Verhalten. Nach altem Recht wurde die Massnahme aufgehoben, wenn ihr Grund weggefallen war; war er nur teilweise weggefallen, konnte die zuständige Behörde eine probeweise Entlassung anordnen (Art. 43 Ziff. 4 Abs. 1 und 2 aStGB; vgl. auch Art. 45 Ziff. 1 aStGB). Die Vollzugsbehörde konnte den Betroffenen somit auch probeweise aus dem Massnahmenvollzug entlassen, wenn ein gewisses Risiko der weiteren Gefährdung der öffentlichen Sicherheit bestehen blieb (vgl. Urteil des Kassationshofs 6A.7/2005 vom 21.9.2005 E. 3). Bei der periodischen Prüfung der probeweisen Entlassung stand somit die Frage im Vordergrund, ob in der Zwischenzeit Änderungen eingetreten waren, welche die Gefahr weiterer Straftaten durch den Eingewiesenen als erheblich geringer erscheinen liessen (Urteil des Kassationshofs 6A.57/2004 vom 18.11.2004 E. 2.1). Es war mithin der negative Beweis der Ungefährlichkeit zu erbringen (Heer, Basler Kommentar, Strafgesetzbuch I, 1. Aufl. Basel 2003, Art. 43 N 240 ). Dies stimmt im Wesentlichen mit der Prognose nach den neuen Bestimmungen überein. Im Ergebnis werden die Voraussetzungen für eine bedingte Entlassung aus einer Verwahrung durch das neue Recht daher nicht verschärft.</w:t>
      </w:r>
    </w:p>
    <w:p>
      <w:r>
        <w:rPr>
          <w:b/>
        </w:rPr>
        <w:t>E. 3.4.4</w:t>
      </w:r>
    </w:p>
    <w:p>
      <w:r>
        <w:t>Das neue Recht erweist sich somit weder hinsichtlich der Anordnung der Verwahrung noch der Entlassung aus dieser Massnahme als strenger als das alte Recht. Es droht mithin keine schwerere Sanktion an als die zum Zeitpunkt der Tatbegehung geltenden Bestimmungen. Damit steht Ziff. 2 Abs. 1 der Schlussbestimmungen der Änderung vom 13. Dezember 2002 nicht im Widerspruch zu Art. 7 Abs. 1 EMRK und Art. 15 Abs. 1 IPBPR. Die Vorinstanz hätte daher, wie die Beschwerdeführerin zu Recht vorbringt, neues Recht anwenden müssen. Der Verzicht der Vorinstanz auf die Anordnung einer Verwahrung ist indes im Lichte der neuen Bestimmung von Art. 64 StGB nicht zu beanstanden. Das ergibt sich auch für das neue Recht aus dem Umstand, dass die Anordnung der Verwahrung angesichts der Schwere dieses Eingriffs in die persönliche Freiheit des Betroffenen "ultima ratio" ist und nicht angeordnet werden darf, wenn die bestehende Gefährlichkeit auf andere Weise behoben werden kann ( BGE 127 IV 1 E. 2a; 118 IV 108 E. 2a, je mit Hinweisen; vgl. auch Art. 56 Abs. 1 und 2 StGB ). Dies wird im neuen Recht nunmehr explizit in Art. 56 StGB festgehalten. Nach dieser Bestimmung darf eine Massnahme nur angeordnet werden, wenn eine Strafe allein nicht geeignet ist, der Gefahr weiterer Straftaten des Täters zu begegnen (Abs. 1 lit. a), oder wenn die öffentliche Sicherheit dies erfordert (Abs. 1 lit. b) und wenn der mit ihr verbundene Eingriff in die Persönlichkeitsrechte des Täters im Hinblick auf die Wahrscheinlichkeit und Schwere weiterer Straftaten nicht unverhältnismässig ist (Abs. 2). Im vorliegenden Fall nimmt die Vorinstanz zu Recht an, angesichts des Umstands, dass der Beschwerdegegner vom psychiatrischen Gutachten nicht als hochgefährlich eingestuft worden sei, rechtfertige sich die Verwahrung bei ihm als Ersttäter noch nicht. Dies gilt - entgegen der missverständlichen Erwägung im angefochtenen Urteil, wonach ernsthaft eine Verwahrung nach Art. 64 Abs. 1 StGB geprüft werden müsste, wenn nicht der Grundsatz der lex mitior entgegenstünde - auch für das neue Recht. Die Beschwerde erweist sich in diesem Punkt als unbegründet.</w:t>
      </w:r>
    </w:p>
    <w:p>
      <w:r>
        <w:rPr>
          <w:b/>
        </w:rPr>
        <w:t>E. 4.1</w:t>
      </w:r>
    </w:p>
    <w:p>
      <w:r>
        <w:t>Eventualiter wendet sich die Beschwerdeführerin gegen den Verzicht der Vorinstanz auf die Anordnung einer ambulanten Behandlung im Sinne Art. 43 Ziff. 1 Abs. 1 aStGB bzw. von Art. 63 Abs. 1 StGB . Die Vorinstanz habe lediglich deswegen keine ambulante Behandlung angeordnet, weil der Gutachter zum Schluss gelangt sei, die Persönlichkeitsstörung des Beschwerdegegners sei nur äusserst schwer behandelbar, und weil der Beschwerdegegner keine Therapiebereitschaft zeige. Diese Begründung sei im Rahmen der Auslegung von Art. 63 Abs. 1 StGB bundesrechtswidrig. Denn entweder seien die Voraussetzungen für eine Verwahrung gemäss Art. 64 Abs. 1 lit. b StGB erfüllt oder sie seien noch nicht erfüllt, dann müsse aber zumindest eine ambulante Massnahme im Sinne von Art. 63 Abs. 1 StGB angeordnet werden. Die Vorinstanz nehme nämlich ein deutlich höheres Rückfallrisiko an als es dem statistischen Rückfallrisiko für den Vorwurf eines (versuchten) Tötungsdelikts entspreche. Damit gehe vom Beschwerdegegner ganz offensichtlich und weiterhin ein massives Gefährdungspotential aus. Unter diesen Umständen dürften an die Anordnung einer ambulanten Massnahme unter dem Titel von Art. 63 Abs. 1 StGB keine allzu hohen Anforderungen gestellt werden.</w:t>
      </w:r>
    </w:p>
    <w:p>
      <w:r>
        <w:rPr>
          <w:b/>
        </w:rPr>
        <w:t>E. 4.2</w:t>
      </w:r>
    </w:p>
    <w:p>
      <w:r>
        <w:t>Die Vorinstanz verletzt kein Bundesrecht, wenn sie annimmt, die Voraussetzungen für eine ambulante Massnahme nach Art. 43 Ziff. 1 Abs. 1 aStGB und bzw. nach Art. 59 und 61 StGB seien nicht erfüllt. Sie stützt sich auch in diesem Punkt zu Recht auf das Gutachten der Psychiatrischen Universitätsklinik Zürich vom 21. Juni 2006, welches dem Beschwerdegegner eine kombinierte, nur äusserst schwer behandelbare Persönlichkeitsstörung attestiert, auf seinen fehlenden Behandlungswillen verweist und mangels erkennbarer therapeutischer Erreichbarkeit auf die Empfehlung einer ambulanten Behandlung verzichtet (Untersuchungsakten HD act. 28/7 S. 42, 52 f.; vgl. oben E. 3.6). Dieser Schluss steht im Einklang mit der bundesgerichtlichen Rechtsprechung. Diese verlangt für die Anordnung einer therapeutischen Massnahme ein Mindestmass an Kooperationsbereitschaft seitens des Betroffenen bzw. ein Minimum an Willen, sich einer Therapie zu unterziehen und diese nicht von vornherein kategorisch abzulehnen (Urteil des Kassationshofs 6S.487/1995 vom 15. September 1995 E. 2d; vgl. auch Urteil 6S.468/2000 vom 25.11.2000 E. 3). Eine solche minimale Bereitschaft ist hier offensichtlich nicht gegeben. Im Übrigen würde sich nach der Auffassung des Gutachters die Anordnung einer ambulanten Massnahme mit erheblicher Wahrscheinlichkeit gerade kontraproduktiv auswirken, da diese dem Beschwerdegegner die Begründung liefern würde, sich fremdbestimmten Situationen nicht auszusetzen. Wie die Beschwerdeführerin zu Recht vorbringt, führt die Vorinstanz in ihrem Urteil lediglich die Art. 59 und 61 StGB auf, erwähnt aber Art. 63 StGB nicht. Ihre diesbezüglichen Erwägungen beziehen sich aber offensichtlich auch auf die ambulante Massnahme im Sinne von Art. 63 StGB . Die Beschwerde erweist sich auch in diesem Punkt als unbegründet.</w:t>
      </w:r>
    </w:p>
    <w:p>
      <w:r>
        <w:rPr>
          <w:b/>
        </w:rPr>
        <w:t>E. 5</w:t>
      </w:r>
    </w:p>
    <w:p>
      <w:r>
        <w:t>Aus diesen Gründen ist die Beschwerde abzuweisen. Bei diesem Ausgang des Verfahrens sind keine Kosten zu erheben ( Art. 66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