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6B_345/2008 vom 30. Mai 2008</w:t>
      </w:r>
    </w:p>
    <w:p>
      <w:r>
        <w:t>Bundesgericht, 2008-05-30, FR</w:t>
      </w:r>
    </w:p>
    <w:p>
      <w:r>
        <w:rPr>
          <w:b/>
        </w:rPr>
        <w:t xml:space="preserve">Quelle: </w:t>
      </w:r>
      <w:r>
        <w:t>https://mcp.opencaselaw.ch/entscheid/bger_6B_345_2008</w:t>
      </w:r>
    </w:p>
    <w:p>
      <w:r>
        <w:t>FR: TF 6B_345/2008 du 30 mai 2008</w:t>
      </w:r>
    </w:p>
    <w:p>
      <w:r>
        <w:t>IT: TF 6B_345/2008 del 30 maggio 2008</w:t>
      </w:r>
    </w:p>
    <w:p>
      <w:pPr>
        <w:pStyle w:val="Heading2"/>
      </w:pPr>
      <w:r>
        <w:t>Erwägungen</w:t>
      </w:r>
    </w:p>
    <w:p>
      <w:r>
        <w:rPr>
          <w:b/>
        </w:rPr>
        <w:t>E. 1</w:t>
      </w:r>
    </w:p>
    <w:p>
      <w:r>
        <w:t>Aux termes de l' art. 108 al. 1 let. a LTF , le président de la Cour décide en procédure simplifiée de ne pas entrer en matière sur les recours manifestement irrecevables.</w:t>
      </w:r>
    </w:p>
    <w:p>
      <w:r>
        <w:t>Le Tribunal fédéral examine d'office et librement la recevabilité des recours qui lui sont soumis ( ATF 134 III 115 consid. 1 et la jurisprudence citée).</w:t>
      </w:r>
    </w:p>
    <w:p>
      <w:r>
        <w:rPr>
          <w:b/>
        </w:rPr>
        <w:t>E. 2</w:t>
      </w:r>
    </w:p>
    <w:p>
      <w:r>
        <w:t>Le recours en matière pénale peut être formé notamment pour violation du droit fédéral, y compris les droits constitutionnels ( art. 95 let. a LTF ; ATF 133 IV 286 consid. 1.2). Cela signifie ici que le grief d'arbitraire présenté entre dans le cadre de ce recours et qu'il n'y a pas place pour un recours constitutionnel subsidiaire.</w:t>
      </w:r>
    </w:p>
    <w:p>
      <w:r>
        <w:rPr>
          <w:b/>
        </w:rPr>
        <w:t>E. 3</w:t>
      </w:r>
    </w:p>
    <w:p>
      <w:r>
        <w:t>L' art. 81 LTF prévoit la qualité pour former un recours en matière pénale. Le simple lésé, par opposition à la victime au sens de la LAVI, n'a en principe pas cette qualité pour recourir ( ATF 133 IV 228 consid. 2.3.3). Selon l' art. 2 al. 1 LAVI , la victime est une personne qui a subi, du fait de l'infraction dénoncée, une atteinte directe à son intégrité corporelle, sexuelle ou psychique. Le simple lésé n'est pas habilité à recourir sur le fond ni à contester l'état de fait ( ATF 120 Ia 157 consid. 2a/bb et la jurisprudence citée).</w:t>
      </w:r>
    </w:p>
    <w:p>
      <w:r>
        <w:t>En l'espèce, la recourante n'est pas une victime au sens de la LAVI. Certes, elle mentionne qu'une lettre contenant une liste importante de reproches de trois de ses anciennes collègues l'avait choquée et touchée dans sa santé (mémoire p. 7 ch. 2 al. 3). Cela est insuffisant pour lui conférer la qualité de victime. En effet, d'une part elle ne précise pas l'importance de cette atteinte à sa santé. D'autre part, elle a reçu copie de la lettre le 17 janvier 2003 et n'a ouvert l'action civile que le 17 septembre 2003. Dans ce cadre, les propos dénoncés ont été tenus entre le 2 juin et le 23 décembre 2005 (mémoire p. 8). On ne discerne donc pas quelle atteinte directe à sa santé ils auraient causée.</w:t>
      </w:r>
    </w:p>
    <w:p>
      <w:r>
        <w:t>N'étant pas une victime, la recourante n'a pas qualité pour former un recours en matière pénale. Ses griefs, qui se limitent à invoquer une appréciation arbitraire des preuves et des faits, sont ainsi irrecevables.</w:t>
      </w:r>
    </w:p>
    <w:p>
      <w:r>
        <w:rPr>
          <w:b/>
        </w:rPr>
        <w:t>E. 4</w:t>
      </w:r>
    </w:p>
    <w:p>
      <w:r>
        <w:t>La recourante supporte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