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6B_344/2020 vom 9. Juli 2020</w:t>
      </w:r>
    </w:p>
    <w:p>
      <w:r>
        <w:t>Bundesgericht, 2020-07-09, FR</w:t>
      </w:r>
    </w:p>
    <w:p>
      <w:r>
        <w:rPr>
          <w:b/>
        </w:rPr>
        <w:t xml:space="preserve">Quelle: </w:t>
      </w:r>
      <w:r>
        <w:t>https://mcp.opencaselaw.ch/entscheid/bger_6B_344_2020</w:t>
      </w:r>
    </w:p>
    <w:p>
      <w:r>
        <w:t>FR: TF 6B_344/2020 du 9 juillet 2020</w:t>
      </w:r>
    </w:p>
    <w:p>
      <w:r>
        <w:t>IT: TF 6B_344/2020 del 9 luglio 2020</w:t>
      </w:r>
    </w:p>
    <w:p>
      <w:pPr>
        <w:pStyle w:val="Heading2"/>
      </w:pPr>
      <w:r>
        <w:t>Erwägungen</w:t>
      </w:r>
    </w:p>
    <w:p>
      <w:r>
        <w:rPr>
          <w:b/>
        </w:rPr>
        <w:t>E. 1</w:t>
      </w:r>
    </w:p>
    <w:p>
      <w:r>
        <w:t>Dénonçant une violation de son droit d'être entendu, l'arbitraire dans l'appréciation des preuves et l'établissement des faits, ainsi qu'une violation de la présomption d'innocence, le recourant fait grief à la cour cantonale d'avoir refusé de le soumettre à une expertise psychiatrique et d'avoir en conséquence retenu que sa responsabilité pénale n'était pas diminuée.</w:t>
      </w:r>
    </w:p>
    <w:p>
      <w:r>
        <w:rPr>
          <w:b/>
        </w:rPr>
        <w:t>E. 1.1</w:t>
      </w:r>
    </w:p>
    <w:p>
      <w:r>
        <w:t>Le droit d'être entendu, garanti à l' art. 29 al. 2 Cst. , comprend notamment celui de produire ou de faire administrer des preuves, à condition qu'elles soient pertinentes et de nature à influer sur la décision à rendre ( ATF 143 V 71 consid. 4.1 p. 72; 142 II 218 consid. 2.3 p. 222; 140 I 285 consid. 6.3.1 p. 299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6B_220/2020 du 26 mai 2020 consid. 1.1; 6B_150/2020 du 19 mai 2020 consid. 3.1; 6B_312/2020 du 11 mai 2020 consid. 1.1).</w:t>
      </w:r>
    </w:p>
    <w:p>
      <w:r>
        <w:rPr>
          <w:b/>
        </w:rPr>
        <w:t>E. 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145 IV 154 consid. 1.1 p. 156; 143 IV 500 consid. 1.1 p. 503).</w:t>
      </w:r>
    </w:p>
    <w:p>
      <w:r>
        <w:rPr>
          <w:b/>
        </w:rPr>
        <w:t>E. 1.3</w:t>
      </w:r>
    </w:p>
    <w:p>
      <w:r>
        <w:t>S'agissant du rejet de la requête du recourant tendant à ce qu'il soit soumis à une expertise psychiatrique, la cour cantonale a d'abord confirmé l'appréciation anticipée des juges de première instance. Ceux-ci s'étaient ainsi fondés sur les déclarations du recourant, selon lesquelles il avait consommé de la cocaïne à une vingtaine de reprises sur une période de 3 ans, et en avaient conclu que cette faible consommation ne pouvait pas avoir d'influence sur sa responsabilité pénale. Les premiers juges avaient écarté les déclarations de E.________ selon lesquelles le recourant aurait été un très gros consommateur de cocaïne, au motif que ce témoin était impliqué dans les faits délictueux et qu'il entretenait un lien d'amitié avec le recourant. Ils avaient en outre écarté l'existence d'une toxico-dépendance, relevant que les tests urinaires effectués sur le recourant étaient négatifs, que celui-ci n'avait manifesté aucun problème de santé qui aurait pu être mis en relation avec une interruption soudaine de sa consommation de cocaïne et qu'il n'avait jamais sollicité de médicaments pour lui permettre de mieux gérer un hypothétique état de manque. Les premiers juges en avaient conclu qu'aucun indice ou élément probant du dossier ne permettait de penser que le recourant était dépendant à la cocaïne ou à un autre produit stupéfiant. Pour la cour cantonale, cette analyse ne prêtait pas le flanc à la critique. Partant, c'était à juste titre que les premiers juges n'avaient pas ordonné d'expertise psychiatrique du recourant et avaient retenu une responsabilité pénale entière.</w:t>
      </w:r>
    </w:p>
    <w:p>
      <w:r>
        <w:t>Au surplus, la cour cantonale a estimé qu'il était évident que le recourant exagérait sa consommation de cocaïne dans le but de réduire sa responsabilité et, partant, l'importance de la sanction prononcée. Le recourant avait d'ailleurs procédé de la même manière pour tenter de réduire l'importance de son trafic et son rôle dans celui-ci. Quant à E.________ et F.________, qui étaient les dépositaires et les vendeurs de la cocaïne fournie par le recourant, leurs témoignages en faveur de celui-ci ne suffisaient pas pour contrebalancer les éléments objectifs qui avaient été mis en évidence par les juges de première instance, selon lesquels le recourant n'avait présenté aucun symptôme de manque ou aucun signe de dépendance au moment de son incarcération. Les premières déclarations du recourant au sujet de sa faible consommation de drogue étaient donc conformes à la vérité et ses revirements n'étaient pas crédibles. La cour cantonale a souligné à cet égard que la "dépendance morbide" à la cocaïne dont celui-ci se prévalait n'était pas compatible avec la gestion professionnelle du trafic dont il avait fait preuve, le recourant ayant lui-même admis aux débats d'appel avoir été "d'une efficacité redoutable pour [son] trafic de drogue".</w:t>
      </w:r>
    </w:p>
    <w:p>
      <w:r>
        <w:t>Concernant l'appréciation des preuves et l'établissement des faits, la cour cantonale, se référant à ce qui avait été dit au sujet du rejet de la réquisition de preuve, a précisé que les premiers juges ne s'étaient pas fondés sur des preuves inadéquates ou sans pertinence. Ils avaient au contraire écarté la prétendue dépendance du recourant en procédant à une saine administration des preuves, à l'issue de laquelle il ne subsistait aucun doute sérieux quant à la toxicomanie alléguée du recourant au moment des faits. Faute de doute, la version la plus favorable ne pouvait être retenue en faveur du recourant.</w:t>
      </w:r>
    </w:p>
    <w:p>
      <w:r>
        <w:rPr>
          <w:b/>
        </w:rPr>
        <w:t>E. 1.4</w:t>
      </w:r>
    </w:p>
    <w:p>
      <w:r>
        <w:t>Invoquant les art. 29 al. 1 et 32 al. 2 Cst., 10, 107 al. 1 let. e, 195 al. 1 et 318 CPP et 20 CP, le recourant reproche à la cour cantonale d'avoir violé son droit d'être entendu en refusant de le soumettre à une expertise psychiatrique. Celle-ci serait indispensable afin de déterminer son degré de dépendance aux stupéfiants et, partant, sa responsabilité pénale au moment des faits. A teneur du dossier, sa toxico-dépendance serait établie. A tout le moins, bon nombre d'éléments auraient dû amener la cour cantonale à douter sérieusement de sa pleine responsabilité pénale. A cet égard, la cour cantonale n'aurait pas tenu compte des déclarations du recourant à l'audience d'appel, selon lesquelles il aurait minimisé sa consommation de drogue afin de ne pas s'accabler inutilement. Elle aurait arbitrairement écarté les déclarations de F.________ et E.________, qui corroboreraient son addiction, omettant en outre de se prononcer sur "le rapport de police". Elle aurait par ailleurs arbitrairement établi certains éléments, tels que le fait que chaque personne réagirait de la même manière à un manque ou que des tests urinaire effectués a posteriori seraient de nature à démontrer une absence d'addiction.</w:t>
      </w:r>
    </w:p>
    <w:p>
      <w:r>
        <w:t>Pour l'essentiel, dans son recours devant la cour de céans, le recourant reprend les objections qu'il a formulées devant la cour cantonale, en se contentant d'opposer sa propre interprétation des pièces à celle de l'autorité précédente. Procédant par affirmation, il ne démontre aucunement en quoi l'appréciation anticipée des preuves offertes, à laquelle s'est livrée la cour cantonale, serait entachée d'arbitraire. Partant, son grief est irrecevable, à défaut de satisfaire aux exigences découlant des art. 42 al. 2 et 106 al. 2 LTF.</w:t>
      </w:r>
    </w:p>
    <w:p>
      <w:r>
        <w:rPr>
          <w:b/>
        </w:rPr>
        <w:t>E. 1.5</w:t>
      </w:r>
    </w:p>
    <w:p>
      <w:r>
        <w:t>Invoquant les art. 14 par. 2 Pacte ONU II , 6 par. 2 CEDH, 9 et 32 al. 1 Cst., 10 CPP et 19 CP, le recourant reproche à la cour cantonale d'avoir apprécié les preuves et établi les faits de manière arbitraire. Il se plaint en outre, à cet égard, d'une violation de la présomption d'innocence. Ainsi, la cour cantonale aurait arbitrairement retenu qu'il n'était pas toxico-dépendant et, partant, que sa responsabilité pénale n'était pas diminuée. Dans le doute, la version qui lui était la plus favorable, à savoir qu'il consommerait de la cocaïne "de manière mortelle", devrait être retenue.</w:t>
      </w:r>
    </w:p>
    <w:p>
      <w:r>
        <w:t>Le recourant n'étaye cependant pas ce second grief par une argumentation distincte de celle qu'il présente à l'appui du premier, se bornant à reprendre les mêmes critiques en qualifiant la décision attaquée d'arbitraire. A nouveau, le recourant se limite à opposer, d'une manière purement appellatoire, et, partant, également irrecevable, sa propre appréciation des faits à celle retenue par la cour cantonale. Il ne démontre ainsi pas en quoi la cour cantonale aurait arbitrairement retenu qu'aucun indice ne permettait de penser que le recourant serait dépendant à la cocaïne ou à un autre produit stupéfiant. Insuffisamment motivée, l'argumentation du recourant est irrecevable.</w:t>
      </w:r>
    </w:p>
    <w:p>
      <w:r>
        <w:rPr>
          <w:b/>
        </w:rPr>
        <w:t>E. 2</w:t>
      </w:r>
    </w:p>
    <w:p>
      <w:r>
        <w:t>Invoquant l'art. 4 par. 1 du protocole n° 7 à la CEDH (</w:t>
      </w:r>
    </w:p>
    <w:p>
      <w:r>
        <w:t>ne bis in idem ), le recourant se plaint d'avoir été puni deux fois pour les mêmes faits, soit d'avoir été condamné à une peine privative de liberté pour l'infraction à la LStup et à une expulsion pour cette même infraction.</w:t>
      </w:r>
    </w:p>
    <w:p>
      <w:r>
        <w:t>L'expulsion est une mesure assortie à une condamnation, de sorte que l'invocation du principe</w:t>
      </w:r>
    </w:p>
    <w:p>
      <w:r>
        <w:t>ne bis in idem est dépourvue de portée en l'occurrence.</w:t>
      </w:r>
    </w:p>
    <w:p>
      <w:r>
        <w:rPr>
          <w:b/>
        </w:rPr>
        <w:t>E. 3</w:t>
      </w:r>
    </w:p>
    <w:p>
      <w:r>
        <w:t>Le recourant s'oppose à son expulsion du territoire suisse.</w:t>
      </w:r>
    </w:p>
    <w:p>
      <w:r>
        <w:rPr>
          <w:b/>
        </w:rPr>
        <w:t>E. 3.1</w:t>
      </w:r>
    </w:p>
    <w:p>
      <w:r>
        <w:t>Aux termes de l' art. 66a al. 1 CP , le juge expulse de Suisse l'étranger qui est condamné pour infraction à l' art. 19 al. 2 LStup (let. o), quelle que soit la quotité de la peine prononcée à son encontre, pour une durée de 5 à 15 ans.</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La clause de rigueur permet de garantir le principe de la proportionnalité ( art. 5 al. 2 Cst. ). Elle doit être appliquée de manière restrictive ( ATF 146 IV 105 consid. 3.4.2 p. 108; 144 IV 332 consid. 3.3.1 p. 340). Selon la jurisprudence du Tribunal fédéral ( ATF 146 IV 105 consid. 3.4 p. 108 ss; 144 IV 332 consid. 3.3.2 p. 340 s.),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 art. 31 al. 1 OASA n'est pas exhaustive et que l'expulsion relève du droit pénal, le juge devra également, dans l'examen du cas de rigueur, tenir compte des perspectives de réinsertion sociale du condamné ( ATF 144 IV 332 consid. 3.3.2 p. 340 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6B_312/2020 du 11 mai 2020 consid. 2.1.1; 6B_255/2020 du 6 mai 2020 consid. 1.2.1; 6B_124/2020 du 1er mai 2020 consid. 3.2.1).</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 6B_312/2020 du 11 mai 2020 consid. 2.1.2). Un séjour légal de dix années suppose en principe une bonne intégration de l'étranger ( ATF 144 I 266 consid. 3.9 p. 278).</w:t>
      </w:r>
    </w:p>
    <w:p>
      <w:r>
        <w:rPr>
          <w:b/>
        </w:rPr>
        <w:t>E. 3.2</w:t>
      </w:r>
    </w:p>
    <w:p>
      <w:r>
        <w:t>La cour cantonale a rappelé que le recourant, né en 1994, était arrivé en Suisse en 2002, alors qu'il n'était âgé que de 8 ans. Au bénéfice d'un permis d'établissement, il avait passé l'essentiel de sa vie dans ce pays, où vivaient également ses parents, ses demi-soeurs et une grande partie de sa famille. Il ne s'était toutefois jamais intégré dans son pays d'accueil, où il avait commis des infractions dès l'âge de 15 ans. A 25 ans, il subissait sa cinquième condamnation en tant qu'adulte, pour des infractions de plus en plus graves. Malgré des mesures alors mises en place par le Tribunal des mineurs, puis le prononcé du sursis à l'exécution de deux de ses peines et les aménagements dont il avait bénéficié pour exécuter sa précédente peine privative de liberté, il avait démontré qu'il n'était pas digne de la confiance placée en lui par les autorités, en récidivant alors même qu'il purgeait encore sa peine sous le régime de la semi-détention et bénéficiait du sursis partiel pour le solde. Il n'était pas marié et n'avait pas d'enfants. S'il avait certes obtenu un CFC en Suisse, il n'avait jamais travaillé de manière fixe, ni gagné sa vie licitement. Bien qu'il parlât couramment le français, il maîtrisait également sa langue d'origine. Il avait encore de la famille au Kosovo, où l'un de ses oncles possédait notamment un hôtel.</w:t>
      </w:r>
    </w:p>
    <w:p>
      <w:r>
        <w:t>La cour cantonale a considéré que déterminer si l'expulsion du territoire helvétique placerait le recourant dans une situation personnelle suffisamment grave pour que l'application de la clause de rigueur prévue à l' art. 66a al. 2 CP puisse être envisagée pouvait rester ouverte. En effet, l'intérêt public présidant à son expulsion l'emportait sur son intérêt privé à demeurer en Suisse, de sorte que l'expulsion se justifiait au regard de l' art. 8 par. 2 CEDH . Les intérêts en faveur de l'expulsion du recourant étaient importants, dès lors que celui-ci s'était livré pendant deux ans à un important trafic de drogue portant sur plus de 36 kg de marijuana et plus de 2 kg de cocaïne, pour plus d'une centaine de clients. Ainsi, compte tenu de la menace pour l'ordre et la santé publics que constituaient les infractions sanctionnées, de la médiocre intégration du recourant en Suisse et de sa persistance à violer l'ordre juridique suisse depuis son plus jeune âge, l'intérêt public à l'expulsion l'emportait manifestement sur l'intérêt privé du recourant à demeurer en Suisse. Il subirait sans conteste un préjudice du fait de son expulsion. Toutefois, rien ne permettait de présumer qu'il rencontrerait de graves difficultés à s'insérer socialement et professionnellement dans son pays d'origine, dont il parlait la langue et où il disposait de relais familiaux.</w:t>
      </w:r>
    </w:p>
    <w:p>
      <w:r>
        <w:rPr>
          <w:b/>
        </w:rPr>
        <w:t>E. 3.3</w:t>
      </w:r>
    </w:p>
    <w:p>
      <w:r>
        <w:t>Le recourant ne conteste pas avoir été condamné pour une infraction à l' art. 19 al. 2 LStup , qui tombe sous le coup de l' art. 66a al. 1 let . o CP. Il fait valoir que son expulsion du territoire suisse ne serait pas justifiée au regard de sa situation personnelle et invoque l'application de la clause de rigueur.</w:t>
      </w:r>
    </w:p>
    <w:p>
      <w:r>
        <w:t>On peut admettre que la question de savoir si l'expulsion pourrait placer le recourant dans une situation personnelle grave - en particulier au regard de son droit au respect de sa vie privée et familiale au sens de l' art. 8 par. 1 CEDH - peut rester indécise, dès lors que l'expulsion peut de toute manière être confirmée au regard de l' art. 8 par. 2 CEDH . A cet égard, l'appréciation de la cour cantonale doit en effet être suivie.</w:t>
      </w:r>
    </w:p>
    <w:p>
      <w:r>
        <w:t>Déterminer si l'intérêt privé du recourant à demeurer en Suisse pourrait l'emporter sur les intérêts publics présidant à son expulsion implique en particulier d'apprécier si la mesure litigieuse respecte le principe de la proportionnalité découlant des art. 5 al. 2 Cst. et 8 par. 2 CEDH (cf. arrêts 6B_312/2020 du 11 mai 2020 consid. 2.2; 6B_124/2020 du 1er mai 2020 consid. 3.4; 6B_2/2019 du 27 septembre 2019 consid. 7.1 non publié aux ATF 145 IV 455 ).</w:t>
      </w:r>
    </w:p>
    <w:p>
      <w:r>
        <w:t>Concernant l'intérêt du recourant à rester en Suisse, il convient de relever que celui-ci vit dans ce pays depuis 18 ans, y dispose de ses liens familiaux principaux et bénéficie d'un permis d'établissement. Malgré cela, l'intégration en Suisse n'est pas réussie. Celui-ci a certes obtenu un CFC et maîtrise le français. Il n'a cependant jamais travaillé de manière fixe, ni gagné sa vie licitement, hormis l'accomplissement d'un stage de cuisinier en 2017. Sa réintégration pourrait se faire au Kosovo, pays dont il parle la langue. Sur le plan personnel, le recourant a encore de la famille dans son pays d'origine, notamment un oncle qui y possède un hôtel.</w:t>
      </w:r>
    </w:p>
    <w:p>
      <w:r>
        <w:t>L'intérêt public présidant à l'expulsion du recourant s'avère considérable, compte tenu de la gravité et de la multiplicité des faits qui ont conduit à la présente condamnation. Malgré son jeune âge, le recourant semble installé dans la délinquance, ce que reflètent ses antécédents judiciaires. Comme l'a souligné la cour cantonale dans son examen de la peine (jugement entrepris, p. 33), le recourant n'a pas hésité à poursuivre son activité criminelle, quand bien même il avait bénéficié d'un sursis partiel octroyé le 15 juin 2017 par le Tribunal correctionnel de l'arrondissement de l'Est vaudois et qu'il se trouvait alors en semi-détention. A cet égard, il convient de rappeler que la Cour européenne des droits de l'Homme estime que, compte tenu des ravages de la drogue dans la population, les autorités sont fondées à faire preuve d'une grande fermeté à l'encontre de ceux qui contribuent à la propagation de ce fléau (cf. arrêts CourEDH</w:t>
      </w:r>
    </w:p>
    <w:p>
      <w:r>
        <w:t>K.M. c. Suisse du 2 juin 2015 [requête n° 6009/10] § 55;</w:t>
      </w:r>
    </w:p>
    <w:p>
      <w:r>
        <w:t>Dalia c. France du 19 février 1998, Recueil CourEDH 1998-I 76 § 54; cf. aussi arrêts 6B_312/2020 du 11 mai 2020 consid. 2.2.3; 6B_153/2020 du 28 avril 2020 consid. 1.4.3). Il apparaît ainsi que le recourant, qui manifeste depuis plusieurs années un mépris complet de l'ordre juridique suisse, constitue une sérieuse menace pour l'ordre et la sécurité publics, en raison de l'énergie délictueuse qu'il a déployée depuis son plus jeune âge.</w:t>
      </w:r>
    </w:p>
    <w:p>
      <w:r>
        <w:t>Lorsque le recourant soutient que prononcer son expulsion reviendrait à méconnaître le soutien qu'il apporte à sa mère malade, son argumentation s'écarte des faits retenus par la cour cantonale sans démontrer en quoi cet élément aurait été arbitrairement omis. Il en va de même de celle selon laquelle il aurait par ailleurs créé un groupe de travail en prison visant à soulager les détenus souffrant de toxico-dépendance.</w:t>
      </w:r>
    </w:p>
    <w:p>
      <w:r>
        <w:t>En définitive, compte tenu de la gravité des infractions sanctionnées, de la mauvaise intégration du recourant en Suisseet des perspectives de réintégration au Kosovo, l'intérêt public à l'expulsion du recourant l'emporte en l'espèce sur son intérêt privé à demeurer en Suisse. L'expulsion, ordonnée pour une durée de dix ans, s'avère conforme au principe de la proportionnalité découlant des art. 5 al. 2 Cst. et 8 par. 2 CEDH, étant précisé que le recourant n'élève aucun grief à l'encontre de la durée de la mesure. La seconde condition pour l'application de l' art. 66a al. 2 CP n'étant pas réalisée, la cour cantonale n'a pas violé le droit fédéral en ordonnant l'expulsion du recourant. Infondé, le grief est rejeté.</w:t>
      </w:r>
    </w:p>
    <w:p>
      <w:r>
        <w:rPr>
          <w:b/>
        </w:rPr>
        <w:t>E. 4</w:t>
      </w:r>
    </w:p>
    <w:p>
      <w:r>
        <w:t>C ompte tenu du sort du recours, il n'y a dès lors pas lieu d'entrer en matière sur les conclusions du recourant visant à une indemnisation.</w:t>
      </w:r>
    </w:p>
    <w:p>
      <w:r>
        <w:rPr>
          <w:b/>
        </w:rPr>
        <w:t>E. 5</w:t>
      </w:r>
    </w:p>
    <w:p>
      <w:r>
        <w:t>Le recours doit être rejeté dans la mesure où il est recevable.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