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6B_344/2015 vom 27. Mai 2015</w:t>
      </w:r>
    </w:p>
    <w:p>
      <w:r>
        <w:t>Bundesgericht, 2015-05-27, DE</w:t>
      </w:r>
    </w:p>
    <w:p>
      <w:r>
        <w:rPr>
          <w:b/>
        </w:rPr>
        <w:t xml:space="preserve">Quelle: </w:t>
      </w:r>
      <w:r>
        <w:t>https://mcp.opencaselaw.ch/entscheid/bger_6B_344_2015</w:t>
      </w:r>
    </w:p>
    <w:p>
      <w:r>
        <w:t>FR: TF 6B_344/2015 du 27 mai 2015</w:t>
      </w:r>
    </w:p>
    <w:p>
      <w:r>
        <w:t>IT: TF 6B_344/2015 del 27 maggio 2015</w:t>
      </w:r>
    </w:p>
    <w:p>
      <w:pPr>
        <w:pStyle w:val="Heading2"/>
      </w:pPr>
      <w:r>
        <w:t>Erwägungen</w:t>
      </w:r>
    </w:p>
    <w:p>
      <w:r>
        <w:rPr>
          <w:b/>
        </w:rPr>
        <w:t>E. 1</w:t>
      </w:r>
    </w:p>
    <w:p>
      <w:r>
        <w:t>In Anwendung von Art. 62 BGG wurde der Beschwerdeführer mit Verfügung vom 9. April 2015 aufgefordert, dem Bundesgericht spätestens am 27. April 2015 einen Kostenvorschuss von Fr. 800.-- einzuzahlen.</w:t>
      </w:r>
    </w:p>
    <w:p>
      <w:r>
        <w:t>Am 16. April 2015 teilte er dem Bundesgericht mit, dass er gegen die Verfügung Einspruch erhebe, da sie nicht den Grundrechten entspreche.</w:t>
      </w:r>
    </w:p>
    <w:p>
      <w:r>
        <w:t>Am 20. April 2015 hielt das Bundesgericht unter Hinweis auf Art. 62 BGG am Kostenvorschuss fest.</w:t>
      </w:r>
    </w:p>
    <w:p>
      <w:r>
        <w:t>Da der Kostenvorschuss innert Frist nicht einging, wurde dem Beschwerdeführer mit Verfügung vom 4. Mai 2015 die gesetzlich vorgeschriebene Nachfrist zur Leistung des Kostenvorschusses bis zum 15. Mai 2015 angesetzt, ansonsten auf das Rechtsmittel nicht eingetreten werde.</w:t>
      </w:r>
    </w:p>
    <w:p>
      <w:r>
        <w:t>Der Kostenvorschuss ging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