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6B_343/2017 vom 28. März 2017</w:t>
      </w:r>
    </w:p>
    <w:p>
      <w:r>
        <w:t>Bundesgericht, 2017-03-28, DE</w:t>
      </w:r>
    </w:p>
    <w:p>
      <w:r>
        <w:rPr>
          <w:b/>
        </w:rPr>
        <w:t xml:space="preserve">Quelle: </w:t>
      </w:r>
      <w:r>
        <w:t>https://mcp.opencaselaw.ch/entscheid/bger_6B_343_2017</w:t>
      </w:r>
    </w:p>
    <w:p>
      <w:r>
        <w:t>FR: TF 6B_343/2017 du 28 mars 2017</w:t>
      </w:r>
    </w:p>
    <w:p>
      <w:r>
        <w:t>IT: TF 6B_343/2017 del 28 marzo 2017</w:t>
      </w:r>
    </w:p>
    <w:p>
      <w:pPr>
        <w:pStyle w:val="Heading2"/>
      </w:pPr>
      <w:r>
        <w:t>Erwägungen</w:t>
      </w:r>
    </w:p>
    <w:p>
      <w:r>
        <w:rPr>
          <w:b/>
        </w:rPr>
        <w:t>E. 1</w:t>
      </w:r>
    </w:p>
    <w:p>
      <w:r>
        <w:t>Das Appellationsgericht Basel-Stadt verurteilte den Beschwerdeführer am 20. Januar 2017 im Berufungsverfahren wegen mehrfacher Verkehrsregelverletzung und wegen Widerhandlung gegen das Tierschutzgesetz zu einer Busse von Fr. 600.-- (Ersatzfreiheitsstrafe 6 Tage).</w:t>
      </w:r>
    </w:p>
    <w:p>
      <w:r>
        <w:t>Der Beschwerdeführer wendet sich mit Beschwerde an das Bundesgericht. Er beantragt sinngemäss die Aufhebung des angefochtenen Urteils.</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(Art. 42 Abs. 2 i.V.m.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Im Rahmen der Willkürrüge genügt es nicht, einen von den tatsächlichen Feststellungen der Vorinstanz abweichenden Sachverhalt zu behaupten oder die eigene Beweiswürdigung zu erläutern ( BGE 137 II 353 E. 5.1).</w:t>
      </w:r>
    </w:p>
    <w:p>
      <w:r>
        <w:rPr>
          <w:b/>
        </w:rPr>
        <w:t>E. 3</w:t>
      </w:r>
    </w:p>
    <w:p>
      <w:r>
        <w:t>Ob der Beschwerdeführer eine willkürliche Sachverhaltsfeststellung oder falsche Rechtsanwendung rügt, kann offenbleiben, da die Beschwerde weder den Begründungsanforderungen gemäss Art. 42 Abs. 2 BGG noch denen nach Art. 106 Abs. 2 BGG genügt. Der Beschwerdeführer beschränkt sich vor Bundesgericht darauf, seine Kritik am Urteil der ersten Instanz wortwörtlich zu wiederholen, ohne überhaupt zu bemerken, dass die Vorinstanz einen Schuldspruch nicht geschützt und die ihm erstinstanzlich auferlegte Busse reduziert hat. Mit den Erwägungen der Vorinstanz setzt er sich nicht ansatzweise auseinander. Aus der Beschwerde ergibt sich mithin nicht, inwieweit das vorinstanzliche Urteil willkürlich oder rechtsfehlerhaft sein könnte. Darauf ist im Verfahren nach Art. 108 BGG nicht einzutreten.</w:t>
      </w:r>
    </w:p>
    <w:p>
      <w:r>
        <w:rPr>
          <w:b/>
        </w:rPr>
        <w:t>E. 4</w:t>
      </w:r>
    </w:p>
    <w:p>
      <w:r>
        <w:t>Bei diesem Ausgang des Verfahrens trägt der Beschwerdeführer die Gerichtskosten ( Art. 66 Abs. 1 BGG ). Das Gesuch um unentgeltliche Rechtspflege ist infolge Aussichtslosigkeit der Rechtsbegehren abzuweisen ( Art. 64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