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6B_342/2019 vom 9. Juli 2019</w:t>
      </w:r>
    </w:p>
    <w:p>
      <w:r>
        <w:t>Bundesgericht, 2019-07-09, DE</w:t>
      </w:r>
    </w:p>
    <w:p>
      <w:r>
        <w:rPr>
          <w:b/>
        </w:rPr>
        <w:t xml:space="preserve">Quelle: </w:t>
      </w:r>
      <w:r>
        <w:t>https://mcp.opencaselaw.ch/entscheid/bger_6B_342_2019</w:t>
      </w:r>
    </w:p>
    <w:p>
      <w:r>
        <w:t>FR: TF 6B_342/2019 du 9 juillet 2019</w:t>
      </w:r>
    </w:p>
    <w:p>
      <w:r>
        <w:t>IT: TF 6B_342/2019 del 9 luglio 2019</w:t>
      </w:r>
    </w:p>
    <w:p>
      <w:pPr>
        <w:pStyle w:val="Heading2"/>
      </w:pPr>
      <w:r>
        <w:t>Erwägungen</w:t>
      </w:r>
    </w:p>
    <w:p>
      <w:r>
        <w:rPr>
          <w:b/>
        </w:rPr>
        <w:t>E. 1.1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Urteil 6B_505/2017 vom 15. Februar 2018 E. 1.1).</w:t>
      </w:r>
    </w:p>
    <w:p>
      <w:r>
        <w:rPr>
          <w:b/>
        </w:rPr>
        <w:t>E. 1.2</w:t>
      </w:r>
    </w:p>
    <w:p>
      <w:r>
        <w:t>Die Einwände des Beschwerdeführers gehen im Wesentlichen an der Sache vorbei. Er bestreitet nicht, dass ihm der Strafbefehl ordnungsgemäss zugestellt wurde, wobei diesen offenbar ein Hausbewohner in Empfang nahm. Entgegen seiner Auffassung ist hingegen ohne Belang, ob er vom Strafbefehl tatsächlich Kenntnis nahm und wenn nein aus welchem Grund. Angesichts der korrekten Zustellung oblag dies alleine seiner Verantwortung. Einer Zustellfiktion, wie der Beschwerdeführer meint, bedarf es nicht. Abgesehen davon zeigt er nicht auf und ist unerfindlich, weshalb ihm die Kenntnisnahme des Strafbefehls unmöglich gewesen sein soll. Er macht namentlich nicht geltend, er habe nicht im entsprechenden Haushalt gewohnt oder sei längere Zeit abwesend, etwa ausser Landes, gewesen. Auch, dass ihm der Strafbefehl vorenthalten worden wäre, behauptet er nicht. Wenngleich für die Frage der Zustellung irrelevant, erhellt aus den Ausführungen des Beschwerdeführers im Übrigen klar, dass er vom gegen ihn eingeleiteten Verfahren bereits vor Erlass des Strafbefehls Kenntnis hatte bzw. haben musste, bringt er doch vor, das Verfahren sei nach einem Telefonat der Polizei mit seinem Vater an Hand genommen worden. Dieser habe bestätigt, dass der Beschwerdeführer der fehlbare Lenker gewesen sein müsse. Ob das Telefonat am Tatabend oder einige Tage später stattfand, wie der Beschwerdeführer moniert, ist nicht entscheidend. Darin liegt auch keine für den Ausgang des Verfahrens relevante, willkürliche Sachverhaltsfeststellung der Vorinstanz. Schliesslich ist unerfindlich, weshalb der Beschwerdeführer den nunmehr erhobenen Einwand, nicht er sondern eine andere ihm bereits damals bekannte Person sei der fehlbare Fahrzeuglenker, nicht schon nach Ergehen des Strafbefehls vorgebracht und das ordentliche Rechtsmittelverfahren angestrengt hat. Wie die Vorinstanz zutreffend erwägt, darf das Revisionsverfahren nicht dazu missbraucht werden, gesetzliche Vorschriften über die Rechtsmittelfristen bzw. die Zulässigkeit von neuen Tatsachen im Rechtsmittelverfahren zu umgehen ( BGE 130 IV 72 E. 2.2 ; 127 I 133 E. 6; Urteil 6B_1193/2017 vom 15. März 2018 E. 1.1.3; je mit Hinweisen). Dies ist hier aber offensichtlich der Fall, zumal der Beschwerdeführer - entgegen seiner Behauptung - angesichts des im Administrativverfahren drohenden Entzugs seines Führerscheins auf Probe augenscheinlich ein erhebliches Interesse daran hat, das im ordentlichen Verfahren Versäumte in einem Revisionsverfahren nachzuholen. Die Vorinstanz ist auf das Revisionsgesuch zu Recht nicht eingetreten. Auf die weiteren Rügen des Beschwerdeführers, namentlich jene, wonach die Vorinstanz dem Geständnis des angeblich fehlbaren Fahrers zu Unrecht nicht Rechnung getragen und damit ihre Begründungspflicht verletzt habe, braucht nicht eingegangen zu werden.</w:t>
      </w:r>
    </w:p>
    <w:p>
      <w:r>
        <w:rPr>
          <w:b/>
        </w:rPr>
        <w:t>E. 2</w:t>
      </w:r>
    </w:p>
    <w:p>
      <w:r>
        <w:t>Die Beschwerde ist offensichtlich unbegründet und im Verfahren nach Art. 109 Abs. 2 lit. a BGG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